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0DCE" w14:textId="296B977B" w:rsidR="00710377" w:rsidRPr="00710377" w:rsidRDefault="00710377" w:rsidP="009A539C">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bookmarkStart w:id="0" w:name="_Toc129422488"/>
      <w:r w:rsidRPr="00710377">
        <w:rPr>
          <w:rFonts w:ascii="Calibri" w:hAnsi="Calibri" w:cs="Calibri"/>
          <w:b/>
          <w:bCs/>
          <w:color w:val="0A1D30" w:themeColor="text2" w:themeShade="BF"/>
          <w:spacing w:val="5"/>
          <w:sz w:val="32"/>
          <w:szCs w:val="32"/>
          <w14:ligatures w14:val="none"/>
        </w:rPr>
        <w:t xml:space="preserve">APPENDIX </w:t>
      </w:r>
      <w:r w:rsidR="003F12BC">
        <w:rPr>
          <w:rFonts w:ascii="Calibri" w:hAnsi="Calibri" w:cs="Calibri"/>
          <w:b/>
          <w:bCs/>
          <w:color w:val="0A1D30" w:themeColor="text2" w:themeShade="BF"/>
          <w:spacing w:val="5"/>
          <w:sz w:val="32"/>
          <w:szCs w:val="32"/>
          <w14:ligatures w14:val="none"/>
        </w:rPr>
        <w:t>G</w:t>
      </w:r>
      <w:r w:rsidRPr="00710377">
        <w:rPr>
          <w:rFonts w:ascii="Calibri" w:hAnsi="Calibri" w:cs="Calibri"/>
          <w:b/>
          <w:bCs/>
          <w:color w:val="0A1D30" w:themeColor="text2" w:themeShade="BF"/>
          <w:spacing w:val="5"/>
          <w:sz w:val="32"/>
          <w:szCs w:val="32"/>
          <w14:ligatures w14:val="none"/>
        </w:rPr>
        <w:t xml:space="preserve"> - Managed Vulnerability Scanning and Patching</w:t>
      </w:r>
      <w:bookmarkEnd w:id="0"/>
    </w:p>
    <w:p w14:paraId="5DF98C1E" w14:textId="77777777" w:rsidR="00710377" w:rsidRPr="00710377" w:rsidRDefault="00710377" w:rsidP="00710377">
      <w:pPr>
        <w:rPr>
          <w:rFonts w:ascii="Calibri" w:hAnsi="Calibri" w:cs="Calibri"/>
          <w:b/>
          <w:bCs/>
          <w:i/>
          <w:iCs/>
          <w:sz w:val="22"/>
          <w:szCs w:val="22"/>
        </w:rPr>
      </w:pPr>
    </w:p>
    <w:p w14:paraId="13A60356" w14:textId="44647C18" w:rsidR="00710377" w:rsidRPr="00710377" w:rsidRDefault="00710377" w:rsidP="00710377">
      <w:pPr>
        <w:rPr>
          <w:rFonts w:ascii="Calibri" w:hAnsi="Calibri" w:cs="Calibri"/>
          <w:b/>
          <w:bCs/>
          <w:i/>
          <w:iCs/>
          <w:color w:val="215E99" w:themeColor="text2" w:themeTint="BF"/>
        </w:rPr>
      </w:pPr>
      <w:r w:rsidRPr="00710377">
        <w:rPr>
          <w:rFonts w:ascii="Calibri" w:hAnsi="Calibri" w:cs="Calibri"/>
          <w:b/>
          <w:bCs/>
          <w:i/>
          <w:iCs/>
          <w:color w:val="215E99" w:themeColor="text2" w:themeTint="BF"/>
        </w:rPr>
        <w:t>Overview</w:t>
      </w:r>
    </w:p>
    <w:p w14:paraId="79DCE24C" w14:textId="3B2C0069" w:rsidR="00710377" w:rsidRPr="00710377" w:rsidRDefault="00710377" w:rsidP="00710377">
      <w:pPr>
        <w:rPr>
          <w:rFonts w:ascii="Calibri" w:hAnsi="Calibri" w:cs="Calibri"/>
          <w:sz w:val="22"/>
          <w:szCs w:val="22"/>
        </w:rPr>
      </w:pPr>
      <w:r w:rsidRPr="00710377">
        <w:rPr>
          <w:rFonts w:ascii="Calibri" w:hAnsi="Calibri" w:cs="Calibri"/>
          <w:sz w:val="22"/>
          <w:szCs w:val="22"/>
        </w:rPr>
        <w:t> This service is focused on establishing a comprehensive internal and external vulnerability management program that leverages Qualys for automated scanning and patch management. The program promotes a robust security posture by identifying, reporting, and mitigating vulnerabilities across all systems, networks, and applications.</w:t>
      </w:r>
    </w:p>
    <w:p w14:paraId="2E820944" w14:textId="3B927FA2" w:rsidR="00710377" w:rsidRPr="00710377" w:rsidRDefault="00710377" w:rsidP="00710377">
      <w:pPr>
        <w:rPr>
          <w:rFonts w:ascii="Calibri" w:hAnsi="Calibri" w:cs="Calibri"/>
          <w:b/>
          <w:bCs/>
          <w:i/>
          <w:iCs/>
          <w:color w:val="215E99" w:themeColor="text2" w:themeTint="BF"/>
        </w:rPr>
      </w:pPr>
      <w:r w:rsidRPr="00710377">
        <w:rPr>
          <w:rFonts w:ascii="Calibri" w:hAnsi="Calibri" w:cs="Calibri"/>
          <w:b/>
          <w:bCs/>
          <w:i/>
          <w:iCs/>
          <w:color w:val="215E99" w:themeColor="text2" w:themeTint="BF"/>
        </w:rPr>
        <w:t>Key Features </w:t>
      </w:r>
    </w:p>
    <w:p w14:paraId="4DAA3CF6" w14:textId="77777777" w:rsidR="00710377" w:rsidRPr="00710377" w:rsidRDefault="00710377" w:rsidP="00710377">
      <w:pPr>
        <w:numPr>
          <w:ilvl w:val="0"/>
          <w:numId w:val="1"/>
        </w:numPr>
        <w:rPr>
          <w:rFonts w:ascii="Calibri" w:hAnsi="Calibri" w:cs="Calibri"/>
          <w:sz w:val="22"/>
          <w:szCs w:val="22"/>
        </w:rPr>
      </w:pPr>
      <w:r w:rsidRPr="00710377">
        <w:rPr>
          <w:rFonts w:ascii="Calibri" w:hAnsi="Calibri" w:cs="Calibri"/>
          <w:b/>
          <w:bCs/>
          <w:sz w:val="22"/>
          <w:szCs w:val="22"/>
        </w:rPr>
        <w:t>Continuous Monitoring:</w:t>
      </w:r>
      <w:r w:rsidRPr="00710377">
        <w:rPr>
          <w:rFonts w:ascii="Calibri" w:hAnsi="Calibri" w:cs="Calibri"/>
          <w:sz w:val="22"/>
          <w:szCs w:val="22"/>
        </w:rPr>
        <w:t> The Qualys Cloud Agent offers real-time visibility into the security posture of your endpoints, ensuring that vulnerabilities are detected and addressed promptly. </w:t>
      </w:r>
    </w:p>
    <w:p w14:paraId="16F1793E" w14:textId="77777777" w:rsidR="00710377" w:rsidRPr="00710377" w:rsidRDefault="00710377" w:rsidP="00710377">
      <w:pPr>
        <w:numPr>
          <w:ilvl w:val="0"/>
          <w:numId w:val="2"/>
        </w:numPr>
        <w:rPr>
          <w:rFonts w:ascii="Calibri" w:hAnsi="Calibri" w:cs="Calibri"/>
          <w:sz w:val="22"/>
          <w:szCs w:val="22"/>
        </w:rPr>
      </w:pPr>
      <w:r w:rsidRPr="00710377">
        <w:rPr>
          <w:rFonts w:ascii="Calibri" w:hAnsi="Calibri" w:cs="Calibri"/>
          <w:b/>
          <w:bCs/>
          <w:sz w:val="22"/>
          <w:szCs w:val="22"/>
        </w:rPr>
        <w:t>Automated Patch Management:</w:t>
      </w:r>
      <w:r w:rsidRPr="00710377">
        <w:rPr>
          <w:rFonts w:ascii="Calibri" w:hAnsi="Calibri" w:cs="Calibri"/>
          <w:sz w:val="22"/>
          <w:szCs w:val="22"/>
        </w:rPr>
        <w:t xml:space="preserve"> Automatically </w:t>
      </w:r>
      <w:proofErr w:type="gramStart"/>
      <w:r w:rsidRPr="00710377">
        <w:rPr>
          <w:rFonts w:ascii="Calibri" w:hAnsi="Calibri" w:cs="Calibri"/>
          <w:sz w:val="22"/>
          <w:szCs w:val="22"/>
        </w:rPr>
        <w:t>deploy</w:t>
      </w:r>
      <w:proofErr w:type="gramEnd"/>
      <w:r w:rsidRPr="00710377">
        <w:rPr>
          <w:rFonts w:ascii="Calibri" w:hAnsi="Calibri" w:cs="Calibri"/>
          <w:sz w:val="22"/>
          <w:szCs w:val="22"/>
        </w:rPr>
        <w:t xml:space="preserve"> patches to remediate vulnerabilities, reducing the risk of exploitation. </w:t>
      </w:r>
    </w:p>
    <w:p w14:paraId="48C50B20" w14:textId="77777777" w:rsidR="00710377" w:rsidRPr="00710377" w:rsidRDefault="00710377" w:rsidP="00710377">
      <w:pPr>
        <w:numPr>
          <w:ilvl w:val="0"/>
          <w:numId w:val="3"/>
        </w:numPr>
        <w:rPr>
          <w:rFonts w:ascii="Calibri" w:hAnsi="Calibri" w:cs="Calibri"/>
          <w:sz w:val="22"/>
          <w:szCs w:val="22"/>
        </w:rPr>
      </w:pPr>
      <w:r w:rsidRPr="00710377">
        <w:rPr>
          <w:rFonts w:ascii="Calibri" w:hAnsi="Calibri" w:cs="Calibri"/>
          <w:b/>
          <w:bCs/>
          <w:sz w:val="22"/>
          <w:szCs w:val="22"/>
        </w:rPr>
        <w:t>Lightweight and Efficient:</w:t>
      </w:r>
      <w:r w:rsidRPr="00710377">
        <w:rPr>
          <w:rFonts w:ascii="Calibri" w:hAnsi="Calibri" w:cs="Calibri"/>
          <w:sz w:val="22"/>
          <w:szCs w:val="22"/>
        </w:rPr>
        <w:t> The agent is designed to have minimal impact on system performance, allowing it to run seamlessly on all your devices. </w:t>
      </w:r>
    </w:p>
    <w:p w14:paraId="4A48AF07" w14:textId="77777777" w:rsidR="00710377" w:rsidRPr="00710377" w:rsidRDefault="00710377" w:rsidP="00710377">
      <w:pPr>
        <w:numPr>
          <w:ilvl w:val="0"/>
          <w:numId w:val="4"/>
        </w:numPr>
        <w:rPr>
          <w:rFonts w:ascii="Calibri" w:hAnsi="Calibri" w:cs="Calibri"/>
          <w:sz w:val="22"/>
          <w:szCs w:val="22"/>
        </w:rPr>
      </w:pPr>
      <w:r w:rsidRPr="00710377">
        <w:rPr>
          <w:rFonts w:ascii="Calibri" w:hAnsi="Calibri" w:cs="Calibri"/>
          <w:b/>
          <w:bCs/>
          <w:sz w:val="22"/>
          <w:szCs w:val="22"/>
        </w:rPr>
        <w:t>Comprehensive Coverage:</w:t>
      </w:r>
      <w:r w:rsidRPr="00710377">
        <w:rPr>
          <w:rFonts w:ascii="Calibri" w:hAnsi="Calibri" w:cs="Calibri"/>
          <w:sz w:val="22"/>
          <w:szCs w:val="22"/>
        </w:rPr>
        <w:t> Supports a wide range of operating systems and environments, including Windows, macOS, Linux, and cloud instances. </w:t>
      </w:r>
    </w:p>
    <w:p w14:paraId="0EDADBE5" w14:textId="72CB7FBF" w:rsidR="00710377" w:rsidRPr="00710377" w:rsidRDefault="00710377" w:rsidP="00710377">
      <w:pPr>
        <w:numPr>
          <w:ilvl w:val="0"/>
          <w:numId w:val="5"/>
        </w:numPr>
        <w:rPr>
          <w:rFonts w:ascii="Calibri" w:hAnsi="Calibri" w:cs="Calibri"/>
          <w:sz w:val="22"/>
          <w:szCs w:val="22"/>
        </w:rPr>
      </w:pPr>
      <w:r w:rsidRPr="00710377">
        <w:rPr>
          <w:rFonts w:ascii="Calibri" w:hAnsi="Calibri" w:cs="Calibri"/>
          <w:b/>
          <w:bCs/>
          <w:sz w:val="22"/>
          <w:szCs w:val="22"/>
        </w:rPr>
        <w:t>Risk-Based Prioritization:</w:t>
      </w:r>
      <w:r w:rsidRPr="00710377">
        <w:rPr>
          <w:rFonts w:ascii="Calibri" w:hAnsi="Calibri" w:cs="Calibri"/>
          <w:sz w:val="22"/>
          <w:szCs w:val="22"/>
        </w:rPr>
        <w:t> Prioritize patch deployment based on the severity of vulnerabilities and the criticality of assets. </w:t>
      </w:r>
      <w:r w:rsidRPr="00710377">
        <w:rPr>
          <w:rFonts w:ascii="Calibri" w:hAnsi="Calibri" w:cs="Calibri"/>
          <w:i/>
          <w:iCs/>
          <w:sz w:val="22"/>
          <w:szCs w:val="22"/>
        </w:rPr>
        <w:t> </w:t>
      </w:r>
    </w:p>
    <w:p w14:paraId="18C513E2" w14:textId="03F0C06C" w:rsidR="00710377" w:rsidRPr="00710377" w:rsidRDefault="00710377" w:rsidP="00710377">
      <w:pPr>
        <w:rPr>
          <w:rFonts w:ascii="Calibri" w:hAnsi="Calibri" w:cs="Calibri"/>
          <w:b/>
          <w:bCs/>
          <w:i/>
          <w:iCs/>
          <w:color w:val="215E99" w:themeColor="text2" w:themeTint="BF"/>
        </w:rPr>
      </w:pPr>
      <w:r w:rsidRPr="00710377">
        <w:rPr>
          <w:rFonts w:ascii="Calibri" w:hAnsi="Calibri" w:cs="Calibri"/>
          <w:b/>
          <w:bCs/>
          <w:i/>
          <w:iCs/>
          <w:color w:val="215E99" w:themeColor="text2" w:themeTint="BF"/>
        </w:rPr>
        <w:t>Agent Deployment </w:t>
      </w:r>
    </w:p>
    <w:p w14:paraId="02CC9DA6" w14:textId="5E4D395D" w:rsidR="00710377" w:rsidRPr="00710377" w:rsidRDefault="00710377" w:rsidP="00710377">
      <w:pPr>
        <w:numPr>
          <w:ilvl w:val="0"/>
          <w:numId w:val="6"/>
        </w:numPr>
        <w:rPr>
          <w:rFonts w:ascii="Calibri" w:hAnsi="Calibri" w:cs="Calibri"/>
          <w:sz w:val="22"/>
          <w:szCs w:val="22"/>
        </w:rPr>
      </w:pPr>
      <w:r w:rsidRPr="00710377">
        <w:rPr>
          <w:rFonts w:ascii="Calibri" w:hAnsi="Calibri" w:cs="Calibri"/>
          <w:sz w:val="22"/>
          <w:szCs w:val="22"/>
        </w:rPr>
        <w:t>InfoSystems will work with the Customer to deploy the Qualys Cloud Agent across the network, including servers, desktops, laptops, and cloud instances, per Customer’s preference. </w:t>
      </w:r>
    </w:p>
    <w:p w14:paraId="72082CC2" w14:textId="539E92B4" w:rsidR="00710377" w:rsidRPr="00710377" w:rsidRDefault="00710377" w:rsidP="00710377">
      <w:pPr>
        <w:rPr>
          <w:rFonts w:ascii="Calibri" w:hAnsi="Calibri" w:cs="Calibri"/>
          <w:b/>
          <w:bCs/>
          <w:i/>
          <w:iCs/>
          <w:color w:val="215E99" w:themeColor="text2" w:themeTint="BF"/>
        </w:rPr>
      </w:pPr>
      <w:r w:rsidRPr="00710377">
        <w:rPr>
          <w:rFonts w:ascii="Calibri" w:hAnsi="Calibri" w:cs="Calibri"/>
          <w:b/>
          <w:bCs/>
          <w:i/>
          <w:iCs/>
          <w:color w:val="215E99" w:themeColor="text2" w:themeTint="BF"/>
        </w:rPr>
        <w:t>Internal &amp; External Vulnerability Management </w:t>
      </w:r>
    </w:p>
    <w:p w14:paraId="3EAA00E4" w14:textId="77777777" w:rsidR="00710377" w:rsidRPr="00710377" w:rsidRDefault="00710377" w:rsidP="00710377">
      <w:pPr>
        <w:numPr>
          <w:ilvl w:val="0"/>
          <w:numId w:val="7"/>
        </w:numPr>
        <w:rPr>
          <w:rFonts w:ascii="Calibri" w:hAnsi="Calibri" w:cs="Calibri"/>
          <w:sz w:val="22"/>
          <w:szCs w:val="22"/>
        </w:rPr>
      </w:pPr>
      <w:r w:rsidRPr="00710377">
        <w:rPr>
          <w:rFonts w:ascii="Calibri" w:hAnsi="Calibri" w:cs="Calibri"/>
          <w:sz w:val="22"/>
          <w:szCs w:val="22"/>
        </w:rPr>
        <w:t>InfoSystems will schedule regular vulnerability scans of IT infrastructure using the Qualys platform.</w:t>
      </w:r>
    </w:p>
    <w:p w14:paraId="1AF112C2" w14:textId="77777777" w:rsidR="00710377" w:rsidRPr="00710377" w:rsidRDefault="00710377" w:rsidP="00710377">
      <w:pPr>
        <w:numPr>
          <w:ilvl w:val="1"/>
          <w:numId w:val="7"/>
        </w:numPr>
        <w:rPr>
          <w:rFonts w:ascii="Calibri" w:hAnsi="Calibri" w:cs="Calibri"/>
          <w:sz w:val="22"/>
          <w:szCs w:val="22"/>
        </w:rPr>
      </w:pPr>
      <w:r w:rsidRPr="00710377">
        <w:rPr>
          <w:rFonts w:ascii="Calibri" w:hAnsi="Calibri" w:cs="Calibri"/>
          <w:sz w:val="22"/>
          <w:szCs w:val="22"/>
        </w:rPr>
        <w:t>The Qualys agent will perform these scans based on the agreed upon schedule to detect vulnerabilities, misconfigurations, and compliance issues. </w:t>
      </w:r>
    </w:p>
    <w:p w14:paraId="2D694D7B" w14:textId="77777777" w:rsidR="00710377" w:rsidRPr="00710377" w:rsidRDefault="00710377" w:rsidP="00710377">
      <w:pPr>
        <w:numPr>
          <w:ilvl w:val="0"/>
          <w:numId w:val="8"/>
        </w:numPr>
        <w:rPr>
          <w:rFonts w:ascii="Calibri" w:hAnsi="Calibri" w:cs="Calibri"/>
          <w:sz w:val="22"/>
          <w:szCs w:val="22"/>
        </w:rPr>
      </w:pPr>
      <w:r w:rsidRPr="00710377">
        <w:rPr>
          <w:rFonts w:ascii="Calibri" w:hAnsi="Calibri" w:cs="Calibri"/>
          <w:sz w:val="22"/>
          <w:szCs w:val="22"/>
        </w:rPr>
        <w:t>The Qualys agent will automatically deploy patches to remediate detected vulnerabilities. Patches are prioritized based on risk, ensuring critical vulnerabilities are addressed first.</w:t>
      </w:r>
    </w:p>
    <w:p w14:paraId="3BCE3995" w14:textId="77777777" w:rsidR="00710377" w:rsidRPr="00710377" w:rsidRDefault="00710377" w:rsidP="00710377">
      <w:pPr>
        <w:numPr>
          <w:ilvl w:val="0"/>
          <w:numId w:val="9"/>
        </w:numPr>
        <w:rPr>
          <w:rFonts w:ascii="Calibri" w:hAnsi="Calibri" w:cs="Calibri"/>
          <w:sz w:val="22"/>
          <w:szCs w:val="22"/>
        </w:rPr>
      </w:pPr>
      <w:r w:rsidRPr="00710377">
        <w:rPr>
          <w:rFonts w:ascii="Calibri" w:hAnsi="Calibri" w:cs="Calibri"/>
          <w:sz w:val="22"/>
          <w:szCs w:val="22"/>
        </w:rPr>
        <w:t>InfoSystems will confirm all vulnerabilities identified through the scans have been addressed with targeted patches.</w:t>
      </w:r>
    </w:p>
    <w:p w14:paraId="7183D10F" w14:textId="77777777" w:rsidR="00710377" w:rsidRPr="00710377" w:rsidRDefault="00710377" w:rsidP="00710377">
      <w:pPr>
        <w:numPr>
          <w:ilvl w:val="0"/>
          <w:numId w:val="9"/>
        </w:numPr>
        <w:rPr>
          <w:rFonts w:ascii="Calibri" w:hAnsi="Calibri" w:cs="Calibri"/>
          <w:sz w:val="22"/>
          <w:szCs w:val="22"/>
        </w:rPr>
      </w:pPr>
      <w:r w:rsidRPr="00710377">
        <w:rPr>
          <w:rFonts w:ascii="Calibri" w:hAnsi="Calibri" w:cs="Calibri"/>
          <w:sz w:val="22"/>
          <w:szCs w:val="22"/>
        </w:rPr>
        <w:t>InfoSystems will monitor the success rate of patch deployment, track patch compliance, and perform necessary rollbacks if required.</w:t>
      </w:r>
    </w:p>
    <w:p w14:paraId="68F814AC" w14:textId="77777777" w:rsidR="00710377" w:rsidRPr="00710377" w:rsidRDefault="00710377" w:rsidP="00710377">
      <w:pPr>
        <w:numPr>
          <w:ilvl w:val="0"/>
          <w:numId w:val="10"/>
        </w:numPr>
        <w:rPr>
          <w:rFonts w:ascii="Calibri" w:hAnsi="Calibri" w:cs="Calibri"/>
          <w:sz w:val="22"/>
          <w:szCs w:val="22"/>
        </w:rPr>
      </w:pPr>
      <w:r w:rsidRPr="00710377">
        <w:rPr>
          <w:rFonts w:ascii="Calibri" w:hAnsi="Calibri" w:cs="Calibri"/>
          <w:sz w:val="22"/>
          <w:szCs w:val="22"/>
        </w:rPr>
        <w:t>The Qualys portal provides comprehensive reports that highlight the vulnerabilities found, their impact, and the actions taken.</w:t>
      </w:r>
    </w:p>
    <w:p w14:paraId="353E69DB" w14:textId="1D9B6F50" w:rsidR="00710377" w:rsidRPr="00710377" w:rsidRDefault="00710377" w:rsidP="00710377">
      <w:pPr>
        <w:numPr>
          <w:ilvl w:val="0"/>
          <w:numId w:val="10"/>
        </w:numPr>
        <w:rPr>
          <w:rFonts w:ascii="Calibri" w:hAnsi="Calibri" w:cs="Calibri"/>
          <w:sz w:val="22"/>
          <w:szCs w:val="22"/>
        </w:rPr>
      </w:pPr>
      <w:r w:rsidRPr="00710377">
        <w:rPr>
          <w:rFonts w:ascii="Calibri" w:hAnsi="Calibri" w:cs="Calibri"/>
          <w:sz w:val="22"/>
          <w:szCs w:val="22"/>
        </w:rPr>
        <w:t>InfoSystems will also provide recommendations for the remediation of vulnerabilities to ensure your systems are secure.  </w:t>
      </w:r>
    </w:p>
    <w:p w14:paraId="77870E29" w14:textId="6F0A1572" w:rsidR="00710377" w:rsidRPr="00710377" w:rsidRDefault="00710377" w:rsidP="00710377">
      <w:pPr>
        <w:rPr>
          <w:rFonts w:ascii="Calibri" w:hAnsi="Calibri" w:cs="Calibri"/>
          <w:b/>
          <w:bCs/>
          <w:i/>
          <w:iCs/>
          <w:color w:val="215E99" w:themeColor="text2" w:themeTint="BF"/>
        </w:rPr>
      </w:pPr>
      <w:r w:rsidRPr="00710377">
        <w:rPr>
          <w:rFonts w:ascii="Calibri" w:hAnsi="Calibri" w:cs="Calibri"/>
          <w:b/>
          <w:bCs/>
          <w:i/>
          <w:iCs/>
          <w:color w:val="215E99" w:themeColor="text2" w:themeTint="BF"/>
        </w:rPr>
        <w:lastRenderedPageBreak/>
        <w:t>Post-Patching Validation and Reporting </w:t>
      </w:r>
    </w:p>
    <w:p w14:paraId="133724EC" w14:textId="77777777" w:rsidR="00710377" w:rsidRPr="00710377" w:rsidRDefault="00710377" w:rsidP="00710377">
      <w:pPr>
        <w:numPr>
          <w:ilvl w:val="0"/>
          <w:numId w:val="11"/>
        </w:numPr>
        <w:rPr>
          <w:rFonts w:ascii="Calibri" w:hAnsi="Calibri" w:cs="Calibri"/>
          <w:sz w:val="22"/>
          <w:szCs w:val="22"/>
        </w:rPr>
      </w:pPr>
      <w:r w:rsidRPr="00710377">
        <w:rPr>
          <w:rFonts w:ascii="Calibri" w:hAnsi="Calibri" w:cs="Calibri"/>
          <w:sz w:val="22"/>
          <w:szCs w:val="22"/>
        </w:rPr>
        <w:t>InfoSystems will validate patches through post-implementation scans, ensuring vulnerabilities have been properly mitigated.</w:t>
      </w:r>
    </w:p>
    <w:p w14:paraId="4590261C" w14:textId="77777777" w:rsidR="00710377" w:rsidRPr="00710377" w:rsidRDefault="00710377" w:rsidP="00710377">
      <w:pPr>
        <w:numPr>
          <w:ilvl w:val="0"/>
          <w:numId w:val="11"/>
        </w:numPr>
        <w:rPr>
          <w:rFonts w:ascii="Calibri" w:hAnsi="Calibri" w:cs="Calibri"/>
          <w:sz w:val="22"/>
          <w:szCs w:val="22"/>
        </w:rPr>
      </w:pPr>
      <w:r w:rsidRPr="00710377">
        <w:rPr>
          <w:rFonts w:ascii="Calibri" w:hAnsi="Calibri" w:cs="Calibri"/>
          <w:sz w:val="22"/>
          <w:szCs w:val="22"/>
        </w:rPr>
        <w:t>InfoSystems will provide documentation and reporting on patch outcomes, including successful applications and any failures requiring follow-up, through the following reports:</w:t>
      </w:r>
    </w:p>
    <w:p w14:paraId="4612D8BD" w14:textId="77777777" w:rsidR="00710377" w:rsidRPr="00710377" w:rsidRDefault="00710377" w:rsidP="00710377">
      <w:pPr>
        <w:numPr>
          <w:ilvl w:val="1"/>
          <w:numId w:val="11"/>
        </w:numPr>
        <w:rPr>
          <w:rFonts w:ascii="Calibri" w:hAnsi="Calibri" w:cs="Calibri"/>
          <w:sz w:val="22"/>
          <w:szCs w:val="22"/>
        </w:rPr>
      </w:pPr>
      <w:r w:rsidRPr="00710377">
        <w:rPr>
          <w:rFonts w:ascii="Calibri" w:hAnsi="Calibri" w:cs="Calibri"/>
          <w:sz w:val="22"/>
          <w:szCs w:val="22"/>
        </w:rPr>
        <w:t>Internal Vulnerability Assessment Reports</w:t>
      </w:r>
    </w:p>
    <w:p w14:paraId="5C1198F5" w14:textId="77777777" w:rsidR="00710377" w:rsidRPr="00710377" w:rsidRDefault="00710377" w:rsidP="00710377">
      <w:pPr>
        <w:numPr>
          <w:ilvl w:val="1"/>
          <w:numId w:val="11"/>
        </w:numPr>
        <w:rPr>
          <w:rFonts w:ascii="Calibri" w:hAnsi="Calibri" w:cs="Calibri"/>
          <w:sz w:val="22"/>
          <w:szCs w:val="22"/>
        </w:rPr>
      </w:pPr>
      <w:r w:rsidRPr="00710377">
        <w:rPr>
          <w:rFonts w:ascii="Calibri" w:hAnsi="Calibri" w:cs="Calibri"/>
          <w:sz w:val="22"/>
          <w:szCs w:val="22"/>
        </w:rPr>
        <w:t>External Vulnerability Assessment Reports</w:t>
      </w:r>
    </w:p>
    <w:p w14:paraId="2A25E817" w14:textId="77777777" w:rsidR="00710377" w:rsidRPr="00710377" w:rsidRDefault="00710377" w:rsidP="00710377">
      <w:pPr>
        <w:numPr>
          <w:ilvl w:val="1"/>
          <w:numId w:val="11"/>
        </w:numPr>
        <w:rPr>
          <w:rFonts w:ascii="Calibri" w:hAnsi="Calibri" w:cs="Calibri"/>
          <w:sz w:val="22"/>
          <w:szCs w:val="22"/>
        </w:rPr>
      </w:pPr>
      <w:r w:rsidRPr="00710377">
        <w:rPr>
          <w:rFonts w:ascii="Calibri" w:hAnsi="Calibri" w:cs="Calibri"/>
          <w:sz w:val="22"/>
          <w:szCs w:val="22"/>
        </w:rPr>
        <w:t>Patch Management Reports </w:t>
      </w:r>
    </w:p>
    <w:p w14:paraId="04A132E1" w14:textId="70E597E5" w:rsidR="00710377" w:rsidRPr="00710377" w:rsidRDefault="00710377" w:rsidP="00710377">
      <w:pPr>
        <w:rPr>
          <w:rFonts w:ascii="Calibri" w:hAnsi="Calibri" w:cs="Calibri"/>
          <w:b/>
          <w:bCs/>
          <w:i/>
          <w:iCs/>
          <w:color w:val="215E99" w:themeColor="text2" w:themeTint="BF"/>
        </w:rPr>
      </w:pPr>
      <w:r w:rsidRPr="00710377">
        <w:rPr>
          <w:rFonts w:ascii="Calibri" w:hAnsi="Calibri" w:cs="Calibri"/>
          <w:b/>
          <w:bCs/>
          <w:i/>
          <w:iCs/>
          <w:color w:val="215E99" w:themeColor="text2" w:themeTint="BF"/>
        </w:rPr>
        <w:t>Exclusions </w:t>
      </w:r>
    </w:p>
    <w:p w14:paraId="37298C60" w14:textId="77777777" w:rsidR="00710377" w:rsidRPr="00710377" w:rsidRDefault="00710377" w:rsidP="00710377">
      <w:pPr>
        <w:numPr>
          <w:ilvl w:val="0"/>
          <w:numId w:val="12"/>
        </w:numPr>
        <w:rPr>
          <w:rFonts w:ascii="Calibri" w:hAnsi="Calibri" w:cs="Calibri"/>
          <w:sz w:val="22"/>
          <w:szCs w:val="22"/>
        </w:rPr>
      </w:pPr>
      <w:r w:rsidRPr="00710377">
        <w:rPr>
          <w:rFonts w:ascii="Calibri" w:hAnsi="Calibri" w:cs="Calibri"/>
          <w:b/>
          <w:bCs/>
          <w:sz w:val="22"/>
          <w:szCs w:val="22"/>
        </w:rPr>
        <w:t>Customer Notification and Liability</w:t>
      </w:r>
      <w:r w:rsidRPr="00710377">
        <w:rPr>
          <w:rFonts w:ascii="Calibri" w:hAnsi="Calibri" w:cs="Calibri"/>
          <w:sz w:val="22"/>
          <w:szCs w:val="22"/>
        </w:rPr>
        <w:t>: In cases where patches are incompatible with the Customer's applications or unsupported software, the Customer must notify InfoSystems in writing, identifying the systems and software versions affected. The Customer bears full responsibility for any issues arising from exempting systems from patching. </w:t>
      </w:r>
    </w:p>
    <w:p w14:paraId="4FFAFFEA" w14:textId="77777777" w:rsidR="00710377" w:rsidRPr="00710377" w:rsidRDefault="00710377" w:rsidP="00710377">
      <w:pPr>
        <w:numPr>
          <w:ilvl w:val="0"/>
          <w:numId w:val="13"/>
        </w:numPr>
        <w:rPr>
          <w:rFonts w:ascii="Calibri" w:hAnsi="Calibri" w:cs="Calibri"/>
          <w:sz w:val="22"/>
          <w:szCs w:val="22"/>
        </w:rPr>
      </w:pPr>
      <w:r w:rsidRPr="00710377">
        <w:rPr>
          <w:rFonts w:ascii="Calibri" w:hAnsi="Calibri" w:cs="Calibri"/>
          <w:b/>
          <w:bCs/>
          <w:sz w:val="22"/>
          <w:szCs w:val="22"/>
        </w:rPr>
        <w:t>Challenges and Responsibilities in Patching</w:t>
      </w:r>
      <w:r w:rsidRPr="00710377">
        <w:rPr>
          <w:rFonts w:ascii="Calibri" w:hAnsi="Calibri" w:cs="Calibri"/>
          <w:sz w:val="22"/>
          <w:szCs w:val="22"/>
        </w:rPr>
        <w:t>: Systems like laptops can be difficult to patch due to being off or disconnected for extended periods. The Customer must assist in ensuring these devices are connected for patching. If patches are skipped, systems will remain vulnerable until patches are applied. </w:t>
      </w:r>
    </w:p>
    <w:p w14:paraId="6B3880F5" w14:textId="77777777" w:rsidR="00710377" w:rsidRPr="00710377" w:rsidRDefault="00710377" w:rsidP="00710377">
      <w:pPr>
        <w:numPr>
          <w:ilvl w:val="0"/>
          <w:numId w:val="14"/>
        </w:numPr>
        <w:rPr>
          <w:rFonts w:ascii="Calibri" w:hAnsi="Calibri" w:cs="Calibri"/>
          <w:sz w:val="22"/>
          <w:szCs w:val="22"/>
        </w:rPr>
      </w:pPr>
      <w:r w:rsidRPr="00710377">
        <w:rPr>
          <w:rFonts w:ascii="Calibri" w:hAnsi="Calibri" w:cs="Calibri"/>
          <w:b/>
          <w:bCs/>
          <w:sz w:val="22"/>
          <w:szCs w:val="22"/>
        </w:rPr>
        <w:t>Indemnification</w:t>
      </w:r>
      <w:r w:rsidRPr="00710377">
        <w:rPr>
          <w:rFonts w:ascii="Calibri" w:hAnsi="Calibri" w:cs="Calibri"/>
          <w:sz w:val="22"/>
          <w:szCs w:val="22"/>
        </w:rPr>
        <w:t>: The Customer indemnifies InfoSystems against any issues related to the Qualys patching service, including system crashes, downtime, and data loss, and is responsible for costs and damages associated with patch deployment. InfoSystems makes no guarantees regarding the patches' suitability, compatibility, or quality, and the limitations of liability and exclusions of damages in the Master Services Agreement apply in full.</w:t>
      </w:r>
    </w:p>
    <w:p w14:paraId="2113A4B7" w14:textId="77777777" w:rsidR="00966DF3" w:rsidRPr="00710377" w:rsidRDefault="00966DF3">
      <w:pPr>
        <w:rPr>
          <w:rFonts w:ascii="Calibri" w:hAnsi="Calibri" w:cs="Calibri"/>
          <w:sz w:val="22"/>
          <w:szCs w:val="22"/>
        </w:rPr>
      </w:pPr>
    </w:p>
    <w:sectPr w:rsidR="00966DF3" w:rsidRPr="00710377" w:rsidSect="00710377">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BC1"/>
    <w:multiLevelType w:val="multilevel"/>
    <w:tmpl w:val="EC5C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512A6"/>
    <w:multiLevelType w:val="multilevel"/>
    <w:tmpl w:val="40F8F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5C3E"/>
    <w:multiLevelType w:val="multilevel"/>
    <w:tmpl w:val="E6A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C5BF6"/>
    <w:multiLevelType w:val="multilevel"/>
    <w:tmpl w:val="59D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2181E"/>
    <w:multiLevelType w:val="multilevel"/>
    <w:tmpl w:val="BCB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E0467"/>
    <w:multiLevelType w:val="multilevel"/>
    <w:tmpl w:val="07F0C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267CD"/>
    <w:multiLevelType w:val="multilevel"/>
    <w:tmpl w:val="F12A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23E3F"/>
    <w:multiLevelType w:val="multilevel"/>
    <w:tmpl w:val="696A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34E3F"/>
    <w:multiLevelType w:val="multilevel"/>
    <w:tmpl w:val="FA60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7634E"/>
    <w:multiLevelType w:val="multilevel"/>
    <w:tmpl w:val="D83E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847FF"/>
    <w:multiLevelType w:val="multilevel"/>
    <w:tmpl w:val="A20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33031"/>
    <w:multiLevelType w:val="multilevel"/>
    <w:tmpl w:val="FA1E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E256B"/>
    <w:multiLevelType w:val="multilevel"/>
    <w:tmpl w:val="60D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149C9"/>
    <w:multiLevelType w:val="multilevel"/>
    <w:tmpl w:val="C17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249175">
    <w:abstractNumId w:val="0"/>
  </w:num>
  <w:num w:numId="2" w16cid:durableId="96680248">
    <w:abstractNumId w:val="13"/>
  </w:num>
  <w:num w:numId="3" w16cid:durableId="322199944">
    <w:abstractNumId w:val="11"/>
  </w:num>
  <w:num w:numId="4" w16cid:durableId="1457792863">
    <w:abstractNumId w:val="10"/>
  </w:num>
  <w:num w:numId="5" w16cid:durableId="1804957788">
    <w:abstractNumId w:val="3"/>
  </w:num>
  <w:num w:numId="6" w16cid:durableId="495345627">
    <w:abstractNumId w:val="2"/>
  </w:num>
  <w:num w:numId="7" w16cid:durableId="226960214">
    <w:abstractNumId w:val="1"/>
  </w:num>
  <w:num w:numId="8" w16cid:durableId="1067142174">
    <w:abstractNumId w:val="9"/>
  </w:num>
  <w:num w:numId="9" w16cid:durableId="939214353">
    <w:abstractNumId w:val="12"/>
  </w:num>
  <w:num w:numId="10" w16cid:durableId="1236430803">
    <w:abstractNumId w:val="4"/>
  </w:num>
  <w:num w:numId="11" w16cid:durableId="62682111">
    <w:abstractNumId w:val="5"/>
  </w:num>
  <w:num w:numId="12" w16cid:durableId="1966620137">
    <w:abstractNumId w:val="6"/>
  </w:num>
  <w:num w:numId="13" w16cid:durableId="793641869">
    <w:abstractNumId w:val="8"/>
  </w:num>
  <w:num w:numId="14" w16cid:durableId="2114157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77"/>
    <w:rsid w:val="001217A2"/>
    <w:rsid w:val="003F12BC"/>
    <w:rsid w:val="004F70B2"/>
    <w:rsid w:val="005D1B63"/>
    <w:rsid w:val="00710377"/>
    <w:rsid w:val="007D6FFD"/>
    <w:rsid w:val="00966DF3"/>
    <w:rsid w:val="009A539C"/>
    <w:rsid w:val="00DE0133"/>
    <w:rsid w:val="00FC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BA0F"/>
  <w15:chartTrackingRefBased/>
  <w15:docId w15:val="{5223C536-3C99-4350-B2EE-549B9EB2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377"/>
    <w:rPr>
      <w:rFonts w:eastAsiaTheme="majorEastAsia" w:cstheme="majorBidi"/>
      <w:color w:val="272727" w:themeColor="text1" w:themeTint="D8"/>
    </w:rPr>
  </w:style>
  <w:style w:type="paragraph" w:styleId="Title">
    <w:name w:val="Title"/>
    <w:basedOn w:val="Normal"/>
    <w:next w:val="Normal"/>
    <w:link w:val="TitleChar"/>
    <w:uiPriority w:val="10"/>
    <w:qFormat/>
    <w:rsid w:val="0071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377"/>
    <w:pPr>
      <w:spacing w:before="160"/>
      <w:jc w:val="center"/>
    </w:pPr>
    <w:rPr>
      <w:i/>
      <w:iCs/>
      <w:color w:val="404040" w:themeColor="text1" w:themeTint="BF"/>
    </w:rPr>
  </w:style>
  <w:style w:type="character" w:customStyle="1" w:styleId="QuoteChar">
    <w:name w:val="Quote Char"/>
    <w:basedOn w:val="DefaultParagraphFont"/>
    <w:link w:val="Quote"/>
    <w:uiPriority w:val="29"/>
    <w:rsid w:val="00710377"/>
    <w:rPr>
      <w:i/>
      <w:iCs/>
      <w:color w:val="404040" w:themeColor="text1" w:themeTint="BF"/>
    </w:rPr>
  </w:style>
  <w:style w:type="paragraph" w:styleId="ListParagraph">
    <w:name w:val="List Paragraph"/>
    <w:basedOn w:val="Normal"/>
    <w:uiPriority w:val="34"/>
    <w:qFormat/>
    <w:rsid w:val="00710377"/>
    <w:pPr>
      <w:ind w:left="720"/>
      <w:contextualSpacing/>
    </w:pPr>
  </w:style>
  <w:style w:type="character" w:styleId="IntenseEmphasis">
    <w:name w:val="Intense Emphasis"/>
    <w:basedOn w:val="DefaultParagraphFont"/>
    <w:uiPriority w:val="21"/>
    <w:qFormat/>
    <w:rsid w:val="00710377"/>
    <w:rPr>
      <w:i/>
      <w:iCs/>
      <w:color w:val="0F4761" w:themeColor="accent1" w:themeShade="BF"/>
    </w:rPr>
  </w:style>
  <w:style w:type="paragraph" w:styleId="IntenseQuote">
    <w:name w:val="Intense Quote"/>
    <w:basedOn w:val="Normal"/>
    <w:next w:val="Normal"/>
    <w:link w:val="IntenseQuoteChar"/>
    <w:uiPriority w:val="30"/>
    <w:qFormat/>
    <w:rsid w:val="0071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377"/>
    <w:rPr>
      <w:i/>
      <w:iCs/>
      <w:color w:val="0F4761" w:themeColor="accent1" w:themeShade="BF"/>
    </w:rPr>
  </w:style>
  <w:style w:type="character" w:styleId="IntenseReference">
    <w:name w:val="Intense Reference"/>
    <w:basedOn w:val="DefaultParagraphFont"/>
    <w:uiPriority w:val="32"/>
    <w:qFormat/>
    <w:rsid w:val="00710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7f0be2faf44cee06fd3e87feae741972">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7d85739c0ee9e58d5f4bf6fce27f143"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2A5FCF-00C6-41AF-B352-EFBF53C143CC}"/>
</file>

<file path=customXml/itemProps2.xml><?xml version="1.0" encoding="utf-8"?>
<ds:datastoreItem xmlns:ds="http://schemas.openxmlformats.org/officeDocument/2006/customXml" ds:itemID="{2E926F4C-E547-4893-AC06-436EEB85FFE4}">
  <ds:schemaRefs>
    <ds:schemaRef ds:uri="http://schemas.microsoft.com/sharepoint/v3/contenttype/forms"/>
  </ds:schemaRefs>
</ds:datastoreItem>
</file>

<file path=customXml/itemProps3.xml><?xml version="1.0" encoding="utf-8"?>
<ds:datastoreItem xmlns:ds="http://schemas.openxmlformats.org/officeDocument/2006/customXml" ds:itemID="{43DC017A-D4DF-485E-8AB6-1240D7F1EB20}">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3364</Characters>
  <Application>Microsoft Office Word</Application>
  <DocSecurity>0</DocSecurity>
  <Lines>58</Lines>
  <Paragraphs>29</Paragraphs>
  <ScaleCrop>false</ScaleCrop>
  <Company>InfoSystems Inc</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4</cp:revision>
  <dcterms:created xsi:type="dcterms:W3CDTF">2025-12-31T16:28:00Z</dcterms:created>
  <dcterms:modified xsi:type="dcterms:W3CDTF">2026-01-20T20:42:00Z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2025-12-31T16:33:00Z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8e56a051-be70-4f92-bf09-bb4d48b6f912</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ies>
</file>