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B747" w14:textId="1C5CA14B" w:rsidR="001E3FF2" w:rsidRPr="002C2B3E" w:rsidRDefault="001E3FF2" w:rsidP="002C2B3E">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r w:rsidRPr="002C2B3E">
        <w:rPr>
          <w:rFonts w:ascii="Calibri" w:hAnsi="Calibri" w:cs="Calibri"/>
          <w:b/>
          <w:bCs/>
          <w:color w:val="0A1D30" w:themeColor="text2" w:themeShade="BF"/>
          <w:spacing w:val="5"/>
          <w:sz w:val="32"/>
          <w:szCs w:val="32"/>
          <w14:ligatures w14:val="none"/>
        </w:rPr>
        <w:t xml:space="preserve">APPENDIX </w:t>
      </w:r>
      <w:r w:rsidR="00314E93" w:rsidRPr="002C2B3E">
        <w:rPr>
          <w:rFonts w:ascii="Calibri" w:hAnsi="Calibri" w:cs="Calibri"/>
          <w:b/>
          <w:bCs/>
          <w:color w:val="0A1D30" w:themeColor="text2" w:themeShade="BF"/>
          <w:spacing w:val="5"/>
          <w:sz w:val="32"/>
          <w:szCs w:val="32"/>
          <w14:ligatures w14:val="none"/>
        </w:rPr>
        <w:t>B</w:t>
      </w:r>
      <w:r w:rsidRPr="002C2B3E">
        <w:rPr>
          <w:rFonts w:ascii="Calibri" w:hAnsi="Calibri" w:cs="Calibri"/>
          <w:b/>
          <w:bCs/>
          <w:color w:val="0A1D30" w:themeColor="text2" w:themeShade="BF"/>
          <w:spacing w:val="5"/>
          <w:sz w:val="32"/>
          <w:szCs w:val="32"/>
          <w14:ligatures w14:val="none"/>
        </w:rPr>
        <w:t xml:space="preserve"> - Onboarding Services</w:t>
      </w:r>
    </w:p>
    <w:p w14:paraId="2D60EF41" w14:textId="77777777" w:rsidR="001E3FF2" w:rsidRPr="001E3FF2" w:rsidRDefault="001E3FF2" w:rsidP="001E3FF2">
      <w:pPr>
        <w:spacing w:after="0" w:line="240" w:lineRule="auto"/>
        <w:ind w:left="720"/>
        <w:rPr>
          <w:rFonts w:ascii="Calibri" w:hAnsi="Calibri" w:cs="Calibri"/>
          <w:sz w:val="22"/>
          <w:szCs w:val="22"/>
        </w:rPr>
      </w:pPr>
    </w:p>
    <w:p w14:paraId="4EE15A99" w14:textId="77777777" w:rsidR="001E3FF2" w:rsidRPr="001E3FF2" w:rsidRDefault="001E3FF2" w:rsidP="001E3FF2">
      <w:pPr>
        <w:spacing w:after="0" w:line="240" w:lineRule="auto"/>
        <w:ind w:left="720"/>
        <w:rPr>
          <w:rFonts w:ascii="Calibri" w:hAnsi="Calibri" w:cs="Calibri"/>
          <w:sz w:val="22"/>
          <w:szCs w:val="22"/>
        </w:rPr>
      </w:pPr>
    </w:p>
    <w:p w14:paraId="3FE9D2A5" w14:textId="7AC767AD"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Pre Deployment Vulnerability Scan</w:t>
      </w:r>
    </w:p>
    <w:p w14:paraId="0842D218"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Asset Discovery </w:t>
      </w:r>
    </w:p>
    <w:p w14:paraId="0682A782"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Internal Vulnerability Scanning</w:t>
      </w:r>
    </w:p>
    <w:p w14:paraId="5D60CFF6"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External Vulnerability Scanning</w:t>
      </w:r>
    </w:p>
    <w:p w14:paraId="6616F0DF" w14:textId="77777777" w:rsid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Reporting and Remediation findings</w:t>
      </w:r>
    </w:p>
    <w:p w14:paraId="3AD4383C" w14:textId="77777777" w:rsidR="001E3FF2" w:rsidRPr="001E3FF2" w:rsidRDefault="001E3FF2" w:rsidP="001E3FF2">
      <w:pPr>
        <w:spacing w:after="0" w:line="240" w:lineRule="auto"/>
        <w:ind w:left="1440"/>
        <w:rPr>
          <w:rFonts w:ascii="Calibri" w:hAnsi="Calibri" w:cs="Calibri"/>
          <w:sz w:val="22"/>
          <w:szCs w:val="22"/>
        </w:rPr>
      </w:pPr>
    </w:p>
    <w:p w14:paraId="1923996B" w14:textId="77777777"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RMM Deployment</w:t>
      </w:r>
    </w:p>
    <w:p w14:paraId="05C161C3"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Create site group &amp; site </w:t>
      </w:r>
    </w:p>
    <w:p w14:paraId="66D018AE"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Setup client access levels (if applicable)</w:t>
      </w:r>
    </w:p>
    <w:p w14:paraId="584FB6CF"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Create agent policies </w:t>
      </w:r>
    </w:p>
    <w:p w14:paraId="0524F6C0"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Monitor policies</w:t>
      </w:r>
    </w:p>
    <w:p w14:paraId="761AC52A"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Patch policies</w:t>
      </w:r>
    </w:p>
    <w:p w14:paraId="7C0ADCE8"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Reporting</w:t>
      </w:r>
    </w:p>
    <w:p w14:paraId="47C9ABD6" w14:textId="77777777" w:rsid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Deploy agent on all desktops, laptops, and servers </w:t>
      </w:r>
    </w:p>
    <w:p w14:paraId="5583570F" w14:textId="77777777" w:rsidR="001E3FF2" w:rsidRPr="001E3FF2" w:rsidRDefault="001E3FF2" w:rsidP="001E3FF2">
      <w:pPr>
        <w:spacing w:after="0" w:line="240" w:lineRule="auto"/>
        <w:ind w:left="1440"/>
        <w:rPr>
          <w:rFonts w:ascii="Calibri" w:hAnsi="Calibri" w:cs="Calibri"/>
          <w:sz w:val="22"/>
          <w:szCs w:val="22"/>
        </w:rPr>
      </w:pPr>
    </w:p>
    <w:p w14:paraId="1ED21ED0" w14:textId="77777777"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Multi-Factor Authentication (MFA) Setup for Microsoft 365</w:t>
      </w:r>
    </w:p>
    <w:p w14:paraId="7DF4E4E1"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Enable MFA for all licensed users by turning on security defaults  </w:t>
      </w:r>
    </w:p>
    <w:p w14:paraId="36FD8B58"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Provide users within Microsoft instructions on how to enroll in MFA  </w:t>
      </w:r>
    </w:p>
    <w:p w14:paraId="37D76F55" w14:textId="34E823C5"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 xml:space="preserve">Work with each user, if needed, after enabling MFA to assist with enrollment </w:t>
      </w:r>
    </w:p>
    <w:p w14:paraId="5ED6EAD7"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For users using SMS or phone call authorization, set up Outlook to use app password key provided when registering for MFA</w:t>
      </w:r>
    </w:p>
    <w:p w14:paraId="75FC2793" w14:textId="77777777" w:rsid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Enable MFA on the InfoSystems Office 365 admin account and register in Keeper</w:t>
      </w:r>
    </w:p>
    <w:p w14:paraId="334DB96A" w14:textId="77777777" w:rsidR="001E3FF2" w:rsidRPr="001E3FF2" w:rsidRDefault="001E3FF2" w:rsidP="001E3FF2">
      <w:pPr>
        <w:spacing w:after="0" w:line="240" w:lineRule="auto"/>
        <w:ind w:left="1440"/>
        <w:rPr>
          <w:rFonts w:ascii="Calibri" w:hAnsi="Calibri" w:cs="Calibri"/>
          <w:sz w:val="22"/>
          <w:szCs w:val="22"/>
        </w:rPr>
      </w:pPr>
    </w:p>
    <w:p w14:paraId="65871AB3" w14:textId="77777777" w:rsidR="001E3FF2" w:rsidRPr="001E3FF2" w:rsidRDefault="001E3FF2" w:rsidP="001E3FF2">
      <w:pPr>
        <w:numPr>
          <w:ilvl w:val="0"/>
          <w:numId w:val="4"/>
        </w:numPr>
        <w:spacing w:after="0" w:line="240" w:lineRule="auto"/>
        <w:rPr>
          <w:rFonts w:ascii="Calibri" w:hAnsi="Calibri" w:cs="Calibri"/>
          <w:sz w:val="22"/>
          <w:szCs w:val="22"/>
        </w:rPr>
      </w:pPr>
      <w:r w:rsidRPr="001E3FF2">
        <w:rPr>
          <w:rFonts w:ascii="Calibri" w:hAnsi="Calibri" w:cs="Calibri"/>
          <w:b/>
          <w:bCs/>
          <w:sz w:val="22"/>
          <w:szCs w:val="22"/>
        </w:rPr>
        <w:t>Email Security and Spam Filtering Setup</w:t>
      </w:r>
    </w:p>
    <w:p w14:paraId="0B183F3D"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Create Customer tenant in spam filter solution  </w:t>
      </w:r>
    </w:p>
    <w:p w14:paraId="3C3EC474"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Attach spam filter to Customer's Office 365  </w:t>
      </w:r>
    </w:p>
    <w:p w14:paraId="4F035FF2"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Allow spam filter to run for five business days</w:t>
      </w:r>
    </w:p>
    <w:p w14:paraId="4F849D88" w14:textId="77777777" w:rsid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Configure policies for email security</w:t>
      </w:r>
    </w:p>
    <w:p w14:paraId="6991EF0D" w14:textId="77777777" w:rsidR="001E3FF2" w:rsidRPr="001E3FF2" w:rsidRDefault="001E3FF2" w:rsidP="001E3FF2">
      <w:pPr>
        <w:spacing w:after="0" w:line="240" w:lineRule="auto"/>
        <w:ind w:left="1440"/>
        <w:rPr>
          <w:rFonts w:ascii="Calibri" w:hAnsi="Calibri" w:cs="Calibri"/>
          <w:sz w:val="22"/>
          <w:szCs w:val="22"/>
        </w:rPr>
      </w:pPr>
    </w:p>
    <w:p w14:paraId="2D9C4359" w14:textId="77777777" w:rsidR="001E3FF2" w:rsidRPr="001E3FF2" w:rsidRDefault="001E3FF2" w:rsidP="001E3FF2">
      <w:pPr>
        <w:numPr>
          <w:ilvl w:val="0"/>
          <w:numId w:val="5"/>
        </w:numPr>
        <w:spacing w:after="0" w:line="240" w:lineRule="auto"/>
        <w:rPr>
          <w:rFonts w:ascii="Calibri" w:hAnsi="Calibri" w:cs="Calibri"/>
          <w:sz w:val="22"/>
          <w:szCs w:val="22"/>
        </w:rPr>
      </w:pPr>
      <w:r w:rsidRPr="001E3FF2">
        <w:rPr>
          <w:rFonts w:ascii="Calibri" w:hAnsi="Calibri" w:cs="Calibri"/>
          <w:b/>
          <w:bCs/>
          <w:sz w:val="22"/>
          <w:szCs w:val="22"/>
        </w:rPr>
        <w:t>Cloud-to-Cloud Setup for Microsoft 365 Backups</w:t>
      </w:r>
    </w:p>
    <w:p w14:paraId="5ED0781C"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Purchase and activate Cloud-to-Cloud licenses on behalf of the Customer  </w:t>
      </w:r>
    </w:p>
    <w:p w14:paraId="7E9CAEA6" w14:textId="4AE4FF35"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 xml:space="preserve">Log into cloud backup solution, click on Cloud-to-Cloud tab, connect to Customer's </w:t>
      </w:r>
      <w:r w:rsidR="000226BF">
        <w:rPr>
          <w:rFonts w:ascii="Calibri" w:hAnsi="Calibri" w:cs="Calibri"/>
          <w:sz w:val="22"/>
          <w:szCs w:val="22"/>
        </w:rPr>
        <w:t>M</w:t>
      </w:r>
      <w:r w:rsidRPr="001E3FF2">
        <w:rPr>
          <w:rFonts w:ascii="Calibri" w:hAnsi="Calibri" w:cs="Calibri"/>
          <w:sz w:val="22"/>
          <w:szCs w:val="22"/>
        </w:rPr>
        <w:t>365 </w:t>
      </w:r>
    </w:p>
    <w:p w14:paraId="5BE50665"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Enable backups in the Cloud-to-Cloud configuration</w:t>
      </w:r>
    </w:p>
    <w:p w14:paraId="7C3346B3"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Verify backup jobs completed successfully with no errors</w:t>
      </w:r>
    </w:p>
    <w:p w14:paraId="562C4473"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Troubleshooting and documentation</w:t>
      </w:r>
    </w:p>
    <w:p w14:paraId="7B4AE0B1" w14:textId="63E8DA54" w:rsidR="001E3FF2" w:rsidRPr="001E3FF2" w:rsidRDefault="001E3FF2" w:rsidP="001E3FF2">
      <w:pPr>
        <w:spacing w:after="0" w:line="240" w:lineRule="auto"/>
        <w:rPr>
          <w:rFonts w:ascii="Calibri" w:hAnsi="Calibri" w:cs="Calibri"/>
          <w:sz w:val="22"/>
          <w:szCs w:val="22"/>
        </w:rPr>
      </w:pPr>
    </w:p>
    <w:p w14:paraId="029ADC3E" w14:textId="77777777" w:rsidR="001E3FF2" w:rsidRPr="001E3FF2" w:rsidRDefault="001E3FF2" w:rsidP="001E3FF2">
      <w:pPr>
        <w:numPr>
          <w:ilvl w:val="0"/>
          <w:numId w:val="6"/>
        </w:numPr>
        <w:spacing w:after="0" w:line="240" w:lineRule="auto"/>
        <w:rPr>
          <w:rFonts w:ascii="Calibri" w:hAnsi="Calibri" w:cs="Calibri"/>
          <w:sz w:val="22"/>
          <w:szCs w:val="22"/>
        </w:rPr>
      </w:pPr>
      <w:r w:rsidRPr="001E3FF2">
        <w:rPr>
          <w:rFonts w:ascii="Calibri" w:hAnsi="Calibri" w:cs="Calibri"/>
          <w:b/>
          <w:bCs/>
          <w:sz w:val="22"/>
          <w:szCs w:val="22"/>
        </w:rPr>
        <w:t>Customer Portal Setup</w:t>
      </w:r>
    </w:p>
    <w:p w14:paraId="09FFE668"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Generate portal </w:t>
      </w:r>
    </w:p>
    <w:p w14:paraId="3936D9E2"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Configure branding/messaging </w:t>
      </w:r>
    </w:p>
    <w:p w14:paraId="0851831F"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Link service boards and service catalog</w:t>
      </w:r>
    </w:p>
    <w:p w14:paraId="3A1FE027"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Add users and verify</w:t>
      </w:r>
    </w:p>
    <w:p w14:paraId="6F9DF448" w14:textId="77777777" w:rsidR="00BB57A1" w:rsidRDefault="00BB57A1">
      <w:pPr>
        <w:rPr>
          <w:rFonts w:ascii="Calibri" w:hAnsi="Calibri" w:cs="Calibri"/>
          <w:b/>
          <w:bCs/>
          <w:sz w:val="22"/>
          <w:szCs w:val="22"/>
        </w:rPr>
      </w:pPr>
      <w:r>
        <w:rPr>
          <w:rFonts w:ascii="Calibri" w:hAnsi="Calibri" w:cs="Calibri"/>
          <w:b/>
          <w:bCs/>
          <w:sz w:val="22"/>
          <w:szCs w:val="22"/>
        </w:rPr>
        <w:br w:type="page"/>
      </w:r>
    </w:p>
    <w:p w14:paraId="73E7123B" w14:textId="1A5CA43A" w:rsidR="001E3FF2" w:rsidRPr="001E3FF2" w:rsidRDefault="001E3FF2" w:rsidP="001E3FF2">
      <w:pPr>
        <w:numPr>
          <w:ilvl w:val="0"/>
          <w:numId w:val="7"/>
        </w:numPr>
        <w:spacing w:after="0" w:line="240" w:lineRule="auto"/>
        <w:rPr>
          <w:rFonts w:ascii="Calibri" w:hAnsi="Calibri" w:cs="Calibri"/>
          <w:sz w:val="22"/>
          <w:szCs w:val="22"/>
        </w:rPr>
      </w:pPr>
      <w:r w:rsidRPr="001E3FF2">
        <w:rPr>
          <w:rFonts w:ascii="Calibri" w:hAnsi="Calibri" w:cs="Calibri"/>
          <w:b/>
          <w:bCs/>
          <w:sz w:val="22"/>
          <w:szCs w:val="22"/>
        </w:rPr>
        <w:lastRenderedPageBreak/>
        <w:t xml:space="preserve">Microsoft 365 Tenant </w:t>
      </w:r>
      <w:r w:rsidR="00044701">
        <w:rPr>
          <w:rFonts w:ascii="Calibri" w:hAnsi="Calibri" w:cs="Calibri"/>
          <w:b/>
          <w:bCs/>
          <w:sz w:val="22"/>
          <w:szCs w:val="22"/>
        </w:rPr>
        <w:t>Assessment</w:t>
      </w:r>
      <w:r w:rsidRPr="001E3FF2">
        <w:rPr>
          <w:rFonts w:ascii="Calibri" w:hAnsi="Calibri" w:cs="Calibri"/>
          <w:b/>
          <w:bCs/>
          <w:sz w:val="22"/>
          <w:szCs w:val="22"/>
        </w:rPr>
        <w:t xml:space="preserve"> and Hardening</w:t>
      </w:r>
    </w:p>
    <w:p w14:paraId="32DE6831" w14:textId="77777777" w:rsidR="001E3FF2" w:rsidRP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Create a configuration yaml file for what products to test</w:t>
      </w:r>
    </w:p>
    <w:p w14:paraId="194FF620" w14:textId="77777777" w:rsidR="001E3FF2" w:rsidRP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Run the SCuBA tool and provided global administrator credentials to create the report</w:t>
      </w:r>
    </w:p>
    <w:p w14:paraId="2BA1D755" w14:textId="77777777" w:rsidR="001E3FF2" w:rsidRP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Create report</w:t>
      </w:r>
    </w:p>
    <w:p w14:paraId="7ACEAA12" w14:textId="77777777" w:rsidR="001E3FF2" w:rsidRP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Review SCuBA report and identify all items requiring attention</w:t>
      </w:r>
    </w:p>
    <w:p w14:paraId="655F7EB4" w14:textId="77777777" w:rsidR="001E3FF2" w:rsidRP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Review report with Customer</w:t>
      </w:r>
    </w:p>
    <w:p w14:paraId="1B8CBD7F" w14:textId="77777777" w:rsidR="001E3FF2" w:rsidRDefault="001E3FF2" w:rsidP="001E3FF2">
      <w:pPr>
        <w:numPr>
          <w:ilvl w:val="1"/>
          <w:numId w:val="7"/>
        </w:numPr>
        <w:spacing w:after="0" w:line="240" w:lineRule="auto"/>
        <w:rPr>
          <w:rFonts w:ascii="Calibri" w:hAnsi="Calibri" w:cs="Calibri"/>
          <w:sz w:val="22"/>
          <w:szCs w:val="22"/>
        </w:rPr>
      </w:pPr>
      <w:r w:rsidRPr="001E3FF2">
        <w:rPr>
          <w:rFonts w:ascii="Calibri" w:hAnsi="Calibri" w:cs="Calibri"/>
          <w:sz w:val="22"/>
          <w:szCs w:val="22"/>
        </w:rPr>
        <w:t>Implement best practices and recommendations</w:t>
      </w:r>
    </w:p>
    <w:p w14:paraId="4018710B" w14:textId="77777777" w:rsidR="001E3FF2" w:rsidRPr="001E3FF2" w:rsidRDefault="001E3FF2" w:rsidP="001E3FF2">
      <w:pPr>
        <w:spacing w:after="0" w:line="240" w:lineRule="auto"/>
        <w:ind w:left="1440"/>
        <w:rPr>
          <w:rFonts w:ascii="Calibri" w:hAnsi="Calibri" w:cs="Calibri"/>
          <w:sz w:val="22"/>
          <w:szCs w:val="22"/>
        </w:rPr>
      </w:pPr>
    </w:p>
    <w:p w14:paraId="014E7F84" w14:textId="3B6EF869" w:rsidR="001E3FF2" w:rsidRPr="001E3FF2" w:rsidRDefault="001E3FF2" w:rsidP="001E3FF2">
      <w:pPr>
        <w:numPr>
          <w:ilvl w:val="0"/>
          <w:numId w:val="8"/>
        </w:numPr>
        <w:spacing w:after="0" w:line="240" w:lineRule="auto"/>
        <w:rPr>
          <w:rFonts w:ascii="Calibri" w:hAnsi="Calibri" w:cs="Calibri"/>
          <w:sz w:val="22"/>
          <w:szCs w:val="22"/>
        </w:rPr>
      </w:pPr>
      <w:r w:rsidRPr="001E3FF2">
        <w:rPr>
          <w:rFonts w:ascii="Calibri" w:hAnsi="Calibri" w:cs="Calibri"/>
          <w:b/>
          <w:bCs/>
          <w:sz w:val="22"/>
          <w:szCs w:val="22"/>
        </w:rPr>
        <w:t>Firewall Hardening </w:t>
      </w:r>
      <w:r w:rsidRPr="001E3FF2">
        <w:rPr>
          <w:rFonts w:ascii="Calibri" w:hAnsi="Calibri" w:cs="Calibri"/>
          <w:sz w:val="22"/>
          <w:szCs w:val="22"/>
        </w:rPr>
        <w:t>(each firewall)</w:t>
      </w:r>
    </w:p>
    <w:p w14:paraId="3B7E9E48"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Update the firewall’s firmware to the latest version to ensure optimal performance and security</w:t>
      </w:r>
    </w:p>
    <w:p w14:paraId="038AF3E6"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Modify the default admin account and password to enhance security</w:t>
      </w:r>
    </w:p>
    <w:p w14:paraId="04BB5EED"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Configure the system's time, disable unnecessary management options, and secure user login methods</w:t>
      </w:r>
    </w:p>
    <w:p w14:paraId="23356F8F"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Disable management access from the WAN interface to prevent unauthorized access</w:t>
      </w:r>
    </w:p>
    <w:p w14:paraId="54058309"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Enable advanced security features like Stealth Mode and IP ID randomization</w:t>
      </w:r>
    </w:p>
    <w:p w14:paraId="7280D20C"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Configure the SSL VPN settings to ensure secure remote access for authorized users</w:t>
      </w:r>
    </w:p>
    <w:p w14:paraId="53071822"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Enable and configure features like Gateway Anti-Virus, Anti-Spyware, and Intrusion Prevention</w:t>
      </w:r>
    </w:p>
    <w:p w14:paraId="5235C145"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This involves setting up a Syslog Server to collect and manage logs for monitoring and troubleshooting</w:t>
      </w:r>
    </w:p>
    <w:p w14:paraId="734443A3"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Create and manage access rules to control traffic flow and enhance network security </w:t>
      </w:r>
      <w:r w:rsidRPr="001E3FF2">
        <w:rPr>
          <w:rFonts w:ascii="Calibri" w:hAnsi="Calibri" w:cs="Calibri"/>
          <w:sz w:val="22"/>
          <w:szCs w:val="22"/>
        </w:rPr>
        <w:br/>
      </w:r>
    </w:p>
    <w:p w14:paraId="1CE3C0AC" w14:textId="77777777" w:rsidR="001E3FF2" w:rsidRPr="001E3FF2" w:rsidRDefault="001E3FF2" w:rsidP="001E3FF2">
      <w:pPr>
        <w:numPr>
          <w:ilvl w:val="0"/>
          <w:numId w:val="9"/>
        </w:numPr>
        <w:spacing w:after="0" w:line="240" w:lineRule="auto"/>
        <w:rPr>
          <w:rFonts w:ascii="Calibri" w:hAnsi="Calibri" w:cs="Calibri"/>
          <w:sz w:val="22"/>
          <w:szCs w:val="22"/>
        </w:rPr>
      </w:pPr>
      <w:r w:rsidRPr="001E3FF2">
        <w:rPr>
          <w:rFonts w:ascii="Calibri" w:hAnsi="Calibri" w:cs="Calibri"/>
          <w:b/>
          <w:bCs/>
          <w:sz w:val="22"/>
          <w:szCs w:val="22"/>
        </w:rPr>
        <w:t>Setup and configure Managed Detection and Response powered by Blackpoint Cyber</w:t>
      </w:r>
    </w:p>
    <w:p w14:paraId="68804EB1"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 xml:space="preserve">Assist Customer with emergency contact list </w:t>
      </w:r>
    </w:p>
    <w:p w14:paraId="1D57C07B"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Deploy SNAP agent</w:t>
      </w:r>
    </w:p>
    <w:p w14:paraId="4A8002E7"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Configure and integrate third</w:t>
      </w:r>
      <w:r w:rsidRPr="00EA3ADA">
        <w:rPr>
          <w:rFonts w:ascii="Cambria Math" w:hAnsi="Cambria Math" w:cs="Cambria Math"/>
          <w:sz w:val="22"/>
          <w:szCs w:val="22"/>
        </w:rPr>
        <w:t>‑</w:t>
      </w:r>
      <w:r w:rsidRPr="00EA3ADA">
        <w:rPr>
          <w:rFonts w:ascii="Calibri" w:hAnsi="Calibri" w:cs="Calibri"/>
          <w:sz w:val="22"/>
          <w:szCs w:val="22"/>
        </w:rPr>
        <w:t>party AV/EDR tools</w:t>
      </w:r>
    </w:p>
    <w:p w14:paraId="2BFC380D"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Configure Cloud Response</w:t>
      </w:r>
    </w:p>
    <w:p w14:paraId="54EA2D96" w14:textId="77777777" w:rsid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Activate and configure LogIC</w:t>
      </w:r>
    </w:p>
    <w:p w14:paraId="5774C7F0" w14:textId="77777777" w:rsidR="00EA3ADA" w:rsidRDefault="00EA3ADA" w:rsidP="00EA3ADA">
      <w:pPr>
        <w:spacing w:after="0" w:line="240" w:lineRule="auto"/>
        <w:ind w:left="1440"/>
        <w:rPr>
          <w:rFonts w:ascii="Calibri" w:hAnsi="Calibri" w:cs="Calibri"/>
          <w:sz w:val="22"/>
          <w:szCs w:val="22"/>
        </w:rPr>
      </w:pPr>
    </w:p>
    <w:p w14:paraId="45C3F539" w14:textId="36E3AD1B" w:rsidR="001E3FF2" w:rsidRPr="001E3FF2" w:rsidRDefault="001E3FF2" w:rsidP="00EA3ADA">
      <w:pPr>
        <w:numPr>
          <w:ilvl w:val="0"/>
          <w:numId w:val="9"/>
        </w:numPr>
        <w:spacing w:after="0" w:line="240" w:lineRule="auto"/>
        <w:rPr>
          <w:rFonts w:ascii="Calibri" w:hAnsi="Calibri" w:cs="Calibri"/>
          <w:sz w:val="22"/>
          <w:szCs w:val="22"/>
        </w:rPr>
      </w:pPr>
      <w:r w:rsidRPr="001E3FF2">
        <w:rPr>
          <w:rFonts w:ascii="Calibri" w:hAnsi="Calibri" w:cs="Calibri"/>
          <w:b/>
          <w:bCs/>
          <w:sz w:val="22"/>
          <w:szCs w:val="22"/>
        </w:rPr>
        <w:t>Setup Cyber Security Awareness Training by InfoSecIQ</w:t>
      </w:r>
    </w:p>
    <w:p w14:paraId="661D9016"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Configure the InfoSec IQ tenant</w:t>
      </w:r>
    </w:p>
    <w:p w14:paraId="172D7FE0"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Assign licenses based on total user count</w:t>
      </w:r>
    </w:p>
    <w:p w14:paraId="478F6CB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Create an O365 Security Group containing all users for synchronization</w:t>
      </w:r>
    </w:p>
    <w:p w14:paraId="644ABF76"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Configure synchronization using SCIM, ADI, Google Workspace, or other applicable protocols</w:t>
      </w:r>
    </w:p>
    <w:p w14:paraId="229FEBEF"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Update email filtering tools to whitelist all Infosec</w:t>
      </w:r>
      <w:r w:rsidRPr="00BB57A1">
        <w:rPr>
          <w:rFonts w:ascii="Cambria Math" w:hAnsi="Cambria Math" w:cs="Cambria Math"/>
          <w:sz w:val="22"/>
          <w:szCs w:val="22"/>
        </w:rPr>
        <w:t>‑</w:t>
      </w:r>
      <w:r w:rsidRPr="00BB57A1">
        <w:rPr>
          <w:rFonts w:ascii="Calibri" w:hAnsi="Calibri" w:cs="Calibri"/>
          <w:sz w:val="22"/>
          <w:szCs w:val="22"/>
        </w:rPr>
        <w:t>related communications</w:t>
      </w:r>
    </w:p>
    <w:p w14:paraId="6C2AF00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Run a test phishing simulation with a small pilot group to validate functionality</w:t>
      </w:r>
    </w:p>
    <w:p w14:paraId="46477CA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Schedule monthly user awareness training and phishing simulations for 12 months</w:t>
      </w:r>
    </w:p>
    <w:p w14:paraId="3F862EBE"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Launch the first training campaign to establish a behavioral baseline</w:t>
      </w:r>
    </w:p>
    <w:p w14:paraId="09A36972" w14:textId="19BC1694" w:rsidR="001E3FF2" w:rsidRPr="001E3FF2"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Document the baseline metrics for future comparison</w:t>
      </w:r>
    </w:p>
    <w:p w14:paraId="5D10F6CE" w14:textId="77777777" w:rsidR="001E3FF2" w:rsidRPr="001E3FF2" w:rsidRDefault="001E3FF2" w:rsidP="001E3FF2">
      <w:pPr>
        <w:spacing w:after="0" w:line="240" w:lineRule="auto"/>
        <w:rPr>
          <w:rFonts w:ascii="Calibri" w:hAnsi="Calibri" w:cs="Calibri"/>
          <w:sz w:val="22"/>
          <w:szCs w:val="22"/>
        </w:rPr>
      </w:pPr>
      <w:r w:rsidRPr="001E3FF2">
        <w:rPr>
          <w:rFonts w:ascii="Calibri" w:hAnsi="Calibri" w:cs="Calibri"/>
          <w:sz w:val="22"/>
          <w:szCs w:val="22"/>
        </w:rPr>
        <w:br/>
      </w:r>
    </w:p>
    <w:p w14:paraId="6ED9261C" w14:textId="77777777" w:rsidR="001E3FF2" w:rsidRPr="001E3FF2" w:rsidRDefault="001E3FF2" w:rsidP="001E3FF2">
      <w:pPr>
        <w:spacing w:after="0" w:line="240" w:lineRule="auto"/>
        <w:rPr>
          <w:rFonts w:ascii="Calibri" w:hAnsi="Calibri" w:cs="Calibri"/>
          <w:sz w:val="22"/>
          <w:szCs w:val="22"/>
        </w:rPr>
      </w:pPr>
      <w:r w:rsidRPr="001E3FF2">
        <w:rPr>
          <w:rFonts w:ascii="Calibri" w:hAnsi="Calibri" w:cs="Calibri"/>
          <w:sz w:val="22"/>
          <w:szCs w:val="22"/>
        </w:rPr>
        <w:t>Note: Custom configuration to any of the onboarding services above will be billed as Time and Materials consumed at $210 per hour labor rate. Devices not auto enrolled in any of the services above will be manually enrolled. Services for manual enrollment of devices will be billed as Time and Materials consumed at $140 per hour labor rate.</w:t>
      </w:r>
    </w:p>
    <w:p w14:paraId="6A48F965" w14:textId="77777777" w:rsidR="00966DF3" w:rsidRPr="001E3FF2" w:rsidRDefault="00966DF3" w:rsidP="001E3FF2">
      <w:pPr>
        <w:spacing w:after="0" w:line="240" w:lineRule="auto"/>
        <w:rPr>
          <w:rFonts w:ascii="Calibri" w:hAnsi="Calibri" w:cs="Calibri"/>
          <w:sz w:val="22"/>
          <w:szCs w:val="22"/>
        </w:rPr>
      </w:pPr>
    </w:p>
    <w:sectPr w:rsidR="00966DF3" w:rsidRPr="001E3FF2" w:rsidSect="00BB57A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68"/>
    <w:multiLevelType w:val="multilevel"/>
    <w:tmpl w:val="F94ECB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10A92"/>
    <w:multiLevelType w:val="multilevel"/>
    <w:tmpl w:val="45E2592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D61CB"/>
    <w:multiLevelType w:val="multilevel"/>
    <w:tmpl w:val="F6328E8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14148"/>
    <w:multiLevelType w:val="multilevel"/>
    <w:tmpl w:val="32D8F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9717F"/>
    <w:multiLevelType w:val="multilevel"/>
    <w:tmpl w:val="D4067B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2759B"/>
    <w:multiLevelType w:val="multilevel"/>
    <w:tmpl w:val="318AF0F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6025D"/>
    <w:multiLevelType w:val="multilevel"/>
    <w:tmpl w:val="BD2849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271D1E"/>
    <w:multiLevelType w:val="multilevel"/>
    <w:tmpl w:val="97E0EB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67333D"/>
    <w:multiLevelType w:val="multilevel"/>
    <w:tmpl w:val="D0B440F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98073084">
    <w:abstractNumId w:val="3"/>
  </w:num>
  <w:num w:numId="2" w16cid:durableId="1751075522">
    <w:abstractNumId w:val="3"/>
    <w:lvlOverride w:ilvl="1">
      <w:startOverride w:val="1"/>
    </w:lvlOverride>
  </w:num>
  <w:num w:numId="3" w16cid:durableId="483274788">
    <w:abstractNumId w:val="3"/>
    <w:lvlOverride w:ilvl="1">
      <w:startOverride w:val="1"/>
    </w:lvlOverride>
  </w:num>
  <w:num w:numId="4" w16cid:durableId="1996030873">
    <w:abstractNumId w:val="7"/>
  </w:num>
  <w:num w:numId="5" w16cid:durableId="969432212">
    <w:abstractNumId w:val="4"/>
  </w:num>
  <w:num w:numId="6" w16cid:durableId="1626891646">
    <w:abstractNumId w:val="6"/>
  </w:num>
  <w:num w:numId="7" w16cid:durableId="1391726776">
    <w:abstractNumId w:val="5"/>
  </w:num>
  <w:num w:numId="8" w16cid:durableId="776757260">
    <w:abstractNumId w:val="2"/>
  </w:num>
  <w:num w:numId="9" w16cid:durableId="1790782333">
    <w:abstractNumId w:val="0"/>
  </w:num>
  <w:num w:numId="10" w16cid:durableId="355274253">
    <w:abstractNumId w:val="1"/>
  </w:num>
  <w:num w:numId="11" w16cid:durableId="336616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F2"/>
    <w:rsid w:val="00020BF5"/>
    <w:rsid w:val="000226BF"/>
    <w:rsid w:val="00035376"/>
    <w:rsid w:val="00044701"/>
    <w:rsid w:val="001217A2"/>
    <w:rsid w:val="001E3FF2"/>
    <w:rsid w:val="001F5E7F"/>
    <w:rsid w:val="002B61A2"/>
    <w:rsid w:val="002C2B3E"/>
    <w:rsid w:val="0030701C"/>
    <w:rsid w:val="00314E93"/>
    <w:rsid w:val="003F2C9A"/>
    <w:rsid w:val="005D1B63"/>
    <w:rsid w:val="005D5F1C"/>
    <w:rsid w:val="00657E12"/>
    <w:rsid w:val="00797302"/>
    <w:rsid w:val="007D6FFD"/>
    <w:rsid w:val="008C697F"/>
    <w:rsid w:val="00966DF3"/>
    <w:rsid w:val="00BB57A1"/>
    <w:rsid w:val="00C760EC"/>
    <w:rsid w:val="00DE0133"/>
    <w:rsid w:val="00E7342F"/>
    <w:rsid w:val="00EA3ADA"/>
    <w:rsid w:val="00EE51FD"/>
    <w:rsid w:val="00F168D0"/>
    <w:rsid w:val="00F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28CE"/>
  <w15:chartTrackingRefBased/>
  <w15:docId w15:val="{0B8DE5AF-04F8-43F8-A580-673E8719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F2"/>
    <w:rPr>
      <w:rFonts w:eastAsiaTheme="majorEastAsia" w:cstheme="majorBidi"/>
      <w:color w:val="272727" w:themeColor="text1" w:themeTint="D8"/>
    </w:rPr>
  </w:style>
  <w:style w:type="paragraph" w:styleId="Title">
    <w:name w:val="Title"/>
    <w:basedOn w:val="Normal"/>
    <w:next w:val="Normal"/>
    <w:link w:val="TitleChar"/>
    <w:uiPriority w:val="10"/>
    <w:qFormat/>
    <w:rsid w:val="001E3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F2"/>
    <w:pPr>
      <w:spacing w:before="160"/>
      <w:jc w:val="center"/>
    </w:pPr>
    <w:rPr>
      <w:i/>
      <w:iCs/>
      <w:color w:val="404040" w:themeColor="text1" w:themeTint="BF"/>
    </w:rPr>
  </w:style>
  <w:style w:type="character" w:customStyle="1" w:styleId="QuoteChar">
    <w:name w:val="Quote Char"/>
    <w:basedOn w:val="DefaultParagraphFont"/>
    <w:link w:val="Quote"/>
    <w:uiPriority w:val="29"/>
    <w:rsid w:val="001E3FF2"/>
    <w:rPr>
      <w:i/>
      <w:iCs/>
      <w:color w:val="404040" w:themeColor="text1" w:themeTint="BF"/>
    </w:rPr>
  </w:style>
  <w:style w:type="paragraph" w:styleId="ListParagraph">
    <w:name w:val="List Paragraph"/>
    <w:basedOn w:val="Normal"/>
    <w:uiPriority w:val="34"/>
    <w:qFormat/>
    <w:rsid w:val="001E3FF2"/>
    <w:pPr>
      <w:ind w:left="720"/>
      <w:contextualSpacing/>
    </w:pPr>
  </w:style>
  <w:style w:type="character" w:styleId="IntenseEmphasis">
    <w:name w:val="Intense Emphasis"/>
    <w:basedOn w:val="DefaultParagraphFont"/>
    <w:uiPriority w:val="21"/>
    <w:qFormat/>
    <w:rsid w:val="001E3FF2"/>
    <w:rPr>
      <w:i/>
      <w:iCs/>
      <w:color w:val="0F4761" w:themeColor="accent1" w:themeShade="BF"/>
    </w:rPr>
  </w:style>
  <w:style w:type="paragraph" w:styleId="IntenseQuote">
    <w:name w:val="Intense Quote"/>
    <w:basedOn w:val="Normal"/>
    <w:next w:val="Normal"/>
    <w:link w:val="IntenseQuoteChar"/>
    <w:uiPriority w:val="30"/>
    <w:qFormat/>
    <w:rsid w:val="001E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F2"/>
    <w:rPr>
      <w:i/>
      <w:iCs/>
      <w:color w:val="0F4761" w:themeColor="accent1" w:themeShade="BF"/>
    </w:rPr>
  </w:style>
  <w:style w:type="character" w:styleId="IntenseReference">
    <w:name w:val="Intense Reference"/>
    <w:basedOn w:val="DefaultParagraphFont"/>
    <w:uiPriority w:val="32"/>
    <w:qFormat/>
    <w:rsid w:val="001E3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FBA47-66A5-4944-B709-2C9C400C2C34}">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customXml/itemProps2.xml><?xml version="1.0" encoding="utf-8"?>
<ds:datastoreItem xmlns:ds="http://schemas.openxmlformats.org/officeDocument/2006/customXml" ds:itemID="{F95E260A-9F7F-4057-849A-987AAA1EE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eb9a-1c60-4b1a-86b0-ef6c07d4be24"/>
    <ds:schemaRef ds:uri="8ae15672-5c61-432f-8353-ebb58eb8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53E4C-8564-45C3-85B2-3116B1FAA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3359</Characters>
  <Application>Microsoft Office Word</Application>
  <DocSecurity>0</DocSecurity>
  <Lines>88</Lines>
  <Paragraphs>79</Paragraphs>
  <ScaleCrop>false</ScaleCrop>
  <Company>InfoSystems Inc</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3</cp:revision>
  <dcterms:created xsi:type="dcterms:W3CDTF">2026-02-12T18:35:00Z</dcterms:created>
  <dcterms:modified xsi:type="dcterms:W3CDTF">2026-02-12T18:35:00Z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2025-10-31T12:15:52Z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bf60fa35-05ef-49d9-bcb5-8be9a3858e84</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y fmtid="{D5CDD505-2E9C-101B-9397-08002B2CF9AE}" pid="12" name="docLang">
    <vt:lpwstr>en</vt:lpwstr>
  </property>
</Properties>
</file>