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86F4" w14:textId="390B64A2" w:rsidR="00E61395" w:rsidRPr="00FC7AFB" w:rsidRDefault="00E61395" w:rsidP="00FC7AFB">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r w:rsidRPr="00FC7AFB">
        <w:rPr>
          <w:rFonts w:ascii="Calibri" w:hAnsi="Calibri" w:cs="Calibri"/>
          <w:b/>
          <w:bCs/>
          <w:color w:val="0A1D30" w:themeColor="text2" w:themeShade="BF"/>
          <w:spacing w:val="5"/>
          <w:sz w:val="32"/>
          <w:szCs w:val="32"/>
          <w14:ligatures w14:val="none"/>
        </w:rPr>
        <w:t>APPENDIX A – Managed Services Detail</w:t>
      </w:r>
    </w:p>
    <w:p w14:paraId="08C205B6" w14:textId="77777777" w:rsidR="00E61395" w:rsidRPr="001E3FF2" w:rsidRDefault="00E61395" w:rsidP="00E61395">
      <w:pPr>
        <w:spacing w:after="0" w:line="240" w:lineRule="auto"/>
        <w:ind w:left="720"/>
        <w:rPr>
          <w:rFonts w:ascii="Calibri" w:hAnsi="Calibri" w:cs="Calibri"/>
          <w:sz w:val="22"/>
          <w:szCs w:val="22"/>
        </w:rPr>
      </w:pPr>
    </w:p>
    <w:p w14:paraId="1CD0EDA2" w14:textId="77777777" w:rsidR="00E61395" w:rsidRPr="00B0302C" w:rsidRDefault="00E61395" w:rsidP="00E61395">
      <w:pPr>
        <w:spacing w:after="0" w:line="240" w:lineRule="auto"/>
        <w:ind w:left="720"/>
        <w:rPr>
          <w:rFonts w:ascii="Calibri" w:hAnsi="Calibri" w:cs="Calibri"/>
          <w:sz w:val="22"/>
          <w:szCs w:val="22"/>
        </w:rPr>
      </w:pPr>
    </w:p>
    <w:p w14:paraId="26795142" w14:textId="77777777" w:rsidR="000742D4" w:rsidRPr="00B0302C" w:rsidRDefault="000742D4" w:rsidP="000742D4">
      <w:pPr>
        <w:pStyle w:val="ListBullet"/>
        <w:numPr>
          <w:ilvl w:val="0"/>
          <w:numId w:val="0"/>
        </w:numPr>
        <w:jc w:val="center"/>
        <w:rPr>
          <w:rFonts w:ascii="Calibri" w:hAnsi="Calibri" w:cs="Calibri"/>
          <w:b/>
          <w:bCs/>
        </w:rPr>
      </w:pPr>
    </w:p>
    <w:p w14:paraId="333CECCE" w14:textId="1227B76C" w:rsidR="00DE3531" w:rsidRPr="00B0302C" w:rsidRDefault="00DE3531" w:rsidP="00DE3531">
      <w:pPr>
        <w:pStyle w:val="ListBullet"/>
        <w:numPr>
          <w:ilvl w:val="0"/>
          <w:numId w:val="0"/>
        </w:numPr>
        <w:rPr>
          <w:rFonts w:ascii="Calibri" w:hAnsi="Calibri" w:cs="Calibri"/>
          <w:b/>
          <w:bCs/>
        </w:rPr>
      </w:pPr>
      <w:r w:rsidRPr="00B0302C">
        <w:rPr>
          <w:rFonts w:ascii="Calibri" w:hAnsi="Calibri" w:cs="Calibri"/>
          <w:b/>
          <w:bCs/>
        </w:rPr>
        <w:t>Customer Support Operations Center (CSOC)</w:t>
      </w:r>
    </w:p>
    <w:p w14:paraId="43556E9B" w14:textId="77777777" w:rsidR="00DE3531" w:rsidRPr="00B0302C" w:rsidRDefault="00DE3531" w:rsidP="006B4119">
      <w:pPr>
        <w:pStyle w:val="ListBullet"/>
        <w:numPr>
          <w:ilvl w:val="0"/>
          <w:numId w:val="0"/>
        </w:numPr>
        <w:contextualSpacing w:val="0"/>
        <w:rPr>
          <w:rFonts w:ascii="Calibri" w:hAnsi="Calibri" w:cs="Calibri"/>
        </w:rPr>
      </w:pPr>
      <w:r w:rsidRPr="00B0302C">
        <w:rPr>
          <w:rFonts w:ascii="Calibri" w:hAnsi="Calibri" w:cs="Calibri"/>
        </w:rPr>
        <w:t>CSOC hours are Monday through Friday 8:00 a.m. to 5:00 p.m. Eastern. Support excludes InfoSystems published holidays.</w:t>
      </w:r>
    </w:p>
    <w:p w14:paraId="3F810CFF" w14:textId="77777777" w:rsidR="00DE3531" w:rsidRPr="00B0302C" w:rsidRDefault="00DE3531" w:rsidP="00DE3531">
      <w:pPr>
        <w:pStyle w:val="ListBullet"/>
        <w:numPr>
          <w:ilvl w:val="0"/>
          <w:numId w:val="0"/>
        </w:numPr>
        <w:rPr>
          <w:rFonts w:ascii="Calibri" w:hAnsi="Calibri" w:cs="Calibri"/>
          <w:b/>
          <w:bCs/>
        </w:rPr>
      </w:pPr>
      <w:r w:rsidRPr="00B0302C">
        <w:rPr>
          <w:rFonts w:ascii="Calibri" w:hAnsi="Calibri" w:cs="Calibri"/>
          <w:b/>
          <w:bCs/>
        </w:rPr>
        <w:t>Service Calls and End User Support</w:t>
      </w:r>
    </w:p>
    <w:p w14:paraId="54DC6090" w14:textId="77777777" w:rsidR="00DE3531" w:rsidRPr="00B0302C" w:rsidRDefault="00DE3531" w:rsidP="006B4119">
      <w:pPr>
        <w:pStyle w:val="ListBullet"/>
        <w:numPr>
          <w:ilvl w:val="0"/>
          <w:numId w:val="0"/>
        </w:numPr>
        <w:contextualSpacing w:val="0"/>
        <w:rPr>
          <w:rFonts w:ascii="Calibri" w:hAnsi="Calibri" w:cs="Calibri"/>
        </w:rPr>
      </w:pPr>
      <w:r w:rsidRPr="00B0302C">
        <w:rPr>
          <w:rFonts w:ascii="Calibri" w:hAnsi="Calibri" w:cs="Calibri"/>
        </w:rPr>
        <w:t>Service calls are Customer-generated requests for assistance on a covered user or endpoint. Service calls are submitted via phone call or e-mail to CSOC, or via customer portal. Remote remediation is the standard service approach and is included in the monthly charges. Onsite requests will be billed on a time and materials basis.</w:t>
      </w:r>
    </w:p>
    <w:p w14:paraId="25714A8F" w14:textId="77777777" w:rsidR="00DE3531" w:rsidRPr="00B0302C" w:rsidRDefault="00DE3531" w:rsidP="006B4119">
      <w:pPr>
        <w:pStyle w:val="ListBullet"/>
        <w:numPr>
          <w:ilvl w:val="0"/>
          <w:numId w:val="0"/>
        </w:numPr>
        <w:rPr>
          <w:rFonts w:ascii="Calibri" w:hAnsi="Calibri" w:cs="Calibri"/>
        </w:rPr>
      </w:pPr>
      <w:r w:rsidRPr="00B0302C">
        <w:rPr>
          <w:rFonts w:ascii="Calibri" w:hAnsi="Calibri" w:cs="Calibri"/>
        </w:rPr>
        <w:t>Following are some examples of service calls:</w:t>
      </w:r>
    </w:p>
    <w:p w14:paraId="0646060D" w14:textId="77777777" w:rsidR="00DE3531" w:rsidRPr="00B0302C" w:rsidRDefault="00DE3531" w:rsidP="006B4119">
      <w:pPr>
        <w:pStyle w:val="ListBullet"/>
        <w:numPr>
          <w:ilvl w:val="0"/>
          <w:numId w:val="3"/>
        </w:numPr>
        <w:ind w:left="720"/>
        <w:rPr>
          <w:rFonts w:ascii="Calibri" w:hAnsi="Calibri" w:cs="Calibri"/>
        </w:rPr>
      </w:pPr>
      <w:r w:rsidRPr="00B0302C">
        <w:rPr>
          <w:rFonts w:ascii="Calibri" w:hAnsi="Calibri" w:cs="Calibri"/>
        </w:rPr>
        <w:t>Password reset or username change</w:t>
      </w:r>
    </w:p>
    <w:p w14:paraId="4762D9BE" w14:textId="77777777" w:rsidR="00DE3531" w:rsidRPr="00B0302C" w:rsidRDefault="00DE3531" w:rsidP="006B4119">
      <w:pPr>
        <w:pStyle w:val="ListBullet"/>
        <w:numPr>
          <w:ilvl w:val="0"/>
          <w:numId w:val="3"/>
        </w:numPr>
        <w:ind w:left="720"/>
        <w:rPr>
          <w:rFonts w:ascii="Calibri" w:hAnsi="Calibri" w:cs="Calibri"/>
        </w:rPr>
      </w:pPr>
      <w:r w:rsidRPr="00B0302C">
        <w:rPr>
          <w:rFonts w:ascii="Calibri" w:hAnsi="Calibri" w:cs="Calibri"/>
        </w:rPr>
        <w:t>Microsoft Office application error (Word, PowerPoint, Excel and Outlook)</w:t>
      </w:r>
    </w:p>
    <w:p w14:paraId="364830A1" w14:textId="77777777" w:rsidR="00DE3531" w:rsidRPr="00B0302C" w:rsidRDefault="00DE3531" w:rsidP="006B4119">
      <w:pPr>
        <w:pStyle w:val="ListBullet"/>
        <w:numPr>
          <w:ilvl w:val="0"/>
          <w:numId w:val="3"/>
        </w:numPr>
        <w:ind w:left="720"/>
        <w:rPr>
          <w:rFonts w:ascii="Calibri" w:hAnsi="Calibri" w:cs="Calibri"/>
        </w:rPr>
      </w:pPr>
      <w:r w:rsidRPr="00B0302C">
        <w:rPr>
          <w:rFonts w:ascii="Calibri" w:hAnsi="Calibri" w:cs="Calibri"/>
        </w:rPr>
        <w:t>User cannot see a file share</w:t>
      </w:r>
    </w:p>
    <w:p w14:paraId="0A7E6BD4" w14:textId="77777777" w:rsidR="00DE3531" w:rsidRPr="00B0302C" w:rsidRDefault="00DE3531" w:rsidP="006B4119">
      <w:pPr>
        <w:pStyle w:val="ListBullet"/>
        <w:numPr>
          <w:ilvl w:val="0"/>
          <w:numId w:val="3"/>
        </w:numPr>
        <w:ind w:left="720"/>
        <w:rPr>
          <w:rFonts w:ascii="Calibri" w:hAnsi="Calibri" w:cs="Calibri"/>
        </w:rPr>
      </w:pPr>
      <w:r w:rsidRPr="00B0302C">
        <w:rPr>
          <w:rFonts w:ascii="Calibri" w:hAnsi="Calibri" w:cs="Calibri"/>
        </w:rPr>
        <w:t>User unable to browse the web</w:t>
      </w:r>
    </w:p>
    <w:p w14:paraId="2EFB679A" w14:textId="77777777" w:rsidR="00DE3531" w:rsidRPr="00B0302C" w:rsidRDefault="00DE3531" w:rsidP="006B4119">
      <w:pPr>
        <w:pStyle w:val="ListBullet"/>
        <w:numPr>
          <w:ilvl w:val="0"/>
          <w:numId w:val="3"/>
        </w:numPr>
        <w:ind w:left="720"/>
        <w:rPr>
          <w:rFonts w:ascii="Calibri" w:hAnsi="Calibri" w:cs="Calibri"/>
        </w:rPr>
      </w:pPr>
      <w:r w:rsidRPr="00B0302C">
        <w:rPr>
          <w:rFonts w:ascii="Calibri" w:hAnsi="Calibri" w:cs="Calibri"/>
        </w:rPr>
        <w:t>User cannot access email mailbox</w:t>
      </w:r>
    </w:p>
    <w:p w14:paraId="7DC252A3" w14:textId="77777777" w:rsidR="00DE3531" w:rsidRPr="00B0302C" w:rsidRDefault="00DE3531" w:rsidP="006B4119">
      <w:pPr>
        <w:pStyle w:val="ListBullet"/>
        <w:numPr>
          <w:ilvl w:val="0"/>
          <w:numId w:val="3"/>
        </w:numPr>
        <w:ind w:left="720"/>
        <w:contextualSpacing w:val="0"/>
        <w:rPr>
          <w:rFonts w:ascii="Calibri" w:hAnsi="Calibri" w:cs="Calibri"/>
        </w:rPr>
      </w:pPr>
      <w:r w:rsidRPr="00B0302C">
        <w:rPr>
          <w:rFonts w:ascii="Calibri" w:hAnsi="Calibri" w:cs="Calibri"/>
        </w:rPr>
        <w:t>Potential email compromise (refer to Cybersecurity Incident Response section)</w:t>
      </w:r>
    </w:p>
    <w:p w14:paraId="2A99066B" w14:textId="77777777" w:rsidR="00DE3531" w:rsidRPr="00B0302C" w:rsidRDefault="00DE3531" w:rsidP="00DE3531">
      <w:pPr>
        <w:pStyle w:val="ListBullet"/>
        <w:numPr>
          <w:ilvl w:val="0"/>
          <w:numId w:val="0"/>
        </w:numPr>
        <w:rPr>
          <w:rFonts w:ascii="Calibri" w:hAnsi="Calibri" w:cs="Calibri"/>
          <w:b/>
          <w:bCs/>
        </w:rPr>
      </w:pPr>
      <w:r w:rsidRPr="00B0302C">
        <w:rPr>
          <w:rFonts w:ascii="Calibri" w:hAnsi="Calibri" w:cs="Calibri"/>
          <w:b/>
          <w:bCs/>
        </w:rPr>
        <w:t>24x7 RMM Key Monitoring Parameters</w:t>
      </w:r>
    </w:p>
    <w:p w14:paraId="4B980446" w14:textId="77777777" w:rsidR="00DE3531" w:rsidRPr="00B0302C" w:rsidRDefault="00DE3531" w:rsidP="006B4119">
      <w:pPr>
        <w:pStyle w:val="ListBullet"/>
        <w:numPr>
          <w:ilvl w:val="0"/>
          <w:numId w:val="0"/>
        </w:numPr>
        <w:contextualSpacing w:val="0"/>
        <w:rPr>
          <w:rFonts w:ascii="Calibri" w:hAnsi="Calibri" w:cs="Calibri"/>
        </w:rPr>
      </w:pPr>
      <w:r w:rsidRPr="00B0302C">
        <w:rPr>
          <w:rFonts w:ascii="Calibri" w:hAnsi="Calibri" w:cs="Calibri"/>
        </w:rPr>
        <w:t>InfoSystems Managed Services will monitor Customer infrastructure utilizing standard Simple Network Management Protocol (SNMP) data collection and limited Syslog monitoring. This is a core function of the remote monitoring and management (RMM) endpoint agent. The platform requires remote access to the monitored devices to perform troubleshooting. Applicable infrastructure services that will be monitored as part of this SOW:</w:t>
      </w:r>
    </w:p>
    <w:p w14:paraId="21E8BD42" w14:textId="77777777" w:rsidR="00DE3531" w:rsidRPr="00B0302C" w:rsidRDefault="00DE3531" w:rsidP="006B4119">
      <w:pPr>
        <w:pStyle w:val="ListBullet"/>
        <w:numPr>
          <w:ilvl w:val="0"/>
          <w:numId w:val="3"/>
        </w:numPr>
        <w:ind w:left="634"/>
        <w:rPr>
          <w:rFonts w:ascii="Calibri" w:hAnsi="Calibri" w:cs="Calibri"/>
        </w:rPr>
      </w:pPr>
      <w:r w:rsidRPr="00B0302C">
        <w:rPr>
          <w:rFonts w:ascii="Calibri" w:hAnsi="Calibri" w:cs="Calibri"/>
        </w:rPr>
        <w:t>Performance monitoring</w:t>
      </w:r>
    </w:p>
    <w:p w14:paraId="78B15FEB" w14:textId="77777777" w:rsidR="00DE3531" w:rsidRPr="00B0302C" w:rsidRDefault="00DE3531" w:rsidP="006B4119">
      <w:pPr>
        <w:pStyle w:val="ListBullet"/>
        <w:numPr>
          <w:ilvl w:val="0"/>
          <w:numId w:val="3"/>
        </w:numPr>
        <w:ind w:left="634"/>
        <w:rPr>
          <w:rFonts w:ascii="Calibri" w:hAnsi="Calibri" w:cs="Calibri"/>
        </w:rPr>
      </w:pPr>
      <w:r w:rsidRPr="00B0302C">
        <w:rPr>
          <w:rFonts w:ascii="Calibri" w:hAnsi="Calibri" w:cs="Calibri"/>
        </w:rPr>
        <w:t>Disk usage monitoring</w:t>
      </w:r>
    </w:p>
    <w:p w14:paraId="47B9BD7F" w14:textId="77777777" w:rsidR="00DE3531" w:rsidRPr="00B0302C" w:rsidRDefault="00DE3531" w:rsidP="006B4119">
      <w:pPr>
        <w:pStyle w:val="ListBullet"/>
        <w:numPr>
          <w:ilvl w:val="0"/>
          <w:numId w:val="3"/>
        </w:numPr>
        <w:ind w:left="634"/>
        <w:rPr>
          <w:rFonts w:ascii="Calibri" w:hAnsi="Calibri" w:cs="Calibri"/>
        </w:rPr>
      </w:pPr>
      <w:r w:rsidRPr="00B0302C">
        <w:rPr>
          <w:rFonts w:ascii="Calibri" w:hAnsi="Calibri" w:cs="Calibri"/>
        </w:rPr>
        <w:t>Event log monitoring</w:t>
      </w:r>
    </w:p>
    <w:p w14:paraId="3BA7862E" w14:textId="77777777" w:rsidR="00DE3531" w:rsidRPr="00B0302C" w:rsidRDefault="00DE3531" w:rsidP="006B4119">
      <w:pPr>
        <w:pStyle w:val="ListBullet"/>
        <w:numPr>
          <w:ilvl w:val="0"/>
          <w:numId w:val="3"/>
        </w:numPr>
        <w:ind w:left="634"/>
        <w:rPr>
          <w:rFonts w:ascii="Calibri" w:hAnsi="Calibri" w:cs="Calibri"/>
        </w:rPr>
      </w:pPr>
      <w:r w:rsidRPr="00B0302C">
        <w:rPr>
          <w:rFonts w:ascii="Calibri" w:hAnsi="Calibri" w:cs="Calibri"/>
        </w:rPr>
        <w:t>Service monitoring</w:t>
      </w:r>
    </w:p>
    <w:p w14:paraId="24D372C5" w14:textId="77777777" w:rsidR="00DE3531" w:rsidRPr="00B0302C" w:rsidRDefault="00DE3531" w:rsidP="006B4119">
      <w:pPr>
        <w:pStyle w:val="ListBullet"/>
        <w:numPr>
          <w:ilvl w:val="0"/>
          <w:numId w:val="3"/>
        </w:numPr>
        <w:ind w:left="634"/>
        <w:rPr>
          <w:rFonts w:ascii="Calibri" w:hAnsi="Calibri" w:cs="Calibri"/>
        </w:rPr>
      </w:pPr>
      <w:r w:rsidRPr="00B0302C">
        <w:rPr>
          <w:rFonts w:ascii="Calibri" w:hAnsi="Calibri" w:cs="Calibri"/>
        </w:rPr>
        <w:t>Process monitoring</w:t>
      </w:r>
    </w:p>
    <w:p w14:paraId="5EE6C429" w14:textId="77777777" w:rsidR="00DE3531" w:rsidRPr="00B0302C" w:rsidRDefault="00DE3531" w:rsidP="006B4119">
      <w:pPr>
        <w:pStyle w:val="ListBullet"/>
        <w:numPr>
          <w:ilvl w:val="0"/>
          <w:numId w:val="3"/>
        </w:numPr>
        <w:ind w:left="634"/>
        <w:contextualSpacing w:val="0"/>
        <w:rPr>
          <w:rFonts w:ascii="Calibri" w:hAnsi="Calibri" w:cs="Calibri"/>
        </w:rPr>
      </w:pPr>
      <w:r w:rsidRPr="00B0302C">
        <w:rPr>
          <w:rFonts w:ascii="Calibri" w:hAnsi="Calibri" w:cs="Calibri"/>
        </w:rPr>
        <w:t>Antivirus status monitoring</w:t>
      </w:r>
    </w:p>
    <w:p w14:paraId="56003581" w14:textId="77777777" w:rsidR="00DE3531" w:rsidRPr="00B0302C" w:rsidRDefault="00DE3531" w:rsidP="00DE3531">
      <w:pPr>
        <w:pStyle w:val="ListBullet"/>
        <w:numPr>
          <w:ilvl w:val="0"/>
          <w:numId w:val="0"/>
        </w:numPr>
        <w:ind w:left="-90"/>
        <w:rPr>
          <w:rFonts w:ascii="Calibri" w:hAnsi="Calibri" w:cs="Calibri"/>
          <w:b/>
          <w:bCs/>
        </w:rPr>
      </w:pPr>
      <w:r w:rsidRPr="00B0302C">
        <w:rPr>
          <w:rFonts w:ascii="Calibri" w:hAnsi="Calibri" w:cs="Calibri"/>
          <w:b/>
          <w:bCs/>
        </w:rPr>
        <w:t>Infrastructure Management</w:t>
      </w:r>
    </w:p>
    <w:p w14:paraId="6111832F" w14:textId="77777777" w:rsidR="00DE3531" w:rsidRPr="00B0302C" w:rsidRDefault="00DE3531" w:rsidP="006B4119">
      <w:pPr>
        <w:pStyle w:val="ListBullet"/>
        <w:numPr>
          <w:ilvl w:val="0"/>
          <w:numId w:val="0"/>
        </w:numPr>
        <w:tabs>
          <w:tab w:val="left" w:pos="1440"/>
        </w:tabs>
        <w:contextualSpacing w:val="0"/>
        <w:rPr>
          <w:rFonts w:ascii="Calibri" w:hAnsi="Calibri" w:cs="Calibri"/>
        </w:rPr>
      </w:pPr>
      <w:r w:rsidRPr="00B0302C">
        <w:rPr>
          <w:rFonts w:ascii="Calibri" w:hAnsi="Calibri" w:cs="Calibri"/>
        </w:rPr>
        <w:t xml:space="preserve">Includes standard support for ongoing use of listed technologies in regular business operations. Changes due to upgrades, replacements, or major system modifications may incur additional charges. Covered services include monitoring, patching, break-fix, and lifecycle management across servers, endpoints, hypervisors, firewalls, switches, storage, and Active Directory. </w:t>
      </w:r>
    </w:p>
    <w:p w14:paraId="05DB3900" w14:textId="77777777" w:rsidR="000742D4" w:rsidRPr="00B0302C" w:rsidRDefault="000742D4">
      <w:pPr>
        <w:rPr>
          <w:rFonts w:ascii="Calibri" w:eastAsiaTheme="minorEastAsia" w:hAnsi="Calibri" w:cs="Calibri"/>
          <w:kern w:val="0"/>
          <w:sz w:val="22"/>
          <w:szCs w:val="22"/>
          <w14:ligatures w14:val="none"/>
        </w:rPr>
      </w:pPr>
      <w:r w:rsidRPr="00B0302C">
        <w:rPr>
          <w:rFonts w:ascii="Calibri" w:hAnsi="Calibri" w:cs="Calibri"/>
        </w:rPr>
        <w:br w:type="page"/>
      </w:r>
    </w:p>
    <w:p w14:paraId="77E27C6F" w14:textId="172F1F94" w:rsidR="00DE3531" w:rsidRPr="00B0302C" w:rsidRDefault="00DE3531" w:rsidP="006B4119">
      <w:pPr>
        <w:pStyle w:val="ListBullet"/>
        <w:numPr>
          <w:ilvl w:val="0"/>
          <w:numId w:val="0"/>
        </w:numPr>
        <w:rPr>
          <w:rFonts w:ascii="Calibri" w:hAnsi="Calibri" w:cs="Calibri"/>
          <w:sz w:val="20"/>
        </w:rPr>
      </w:pPr>
      <w:r w:rsidRPr="00B0302C">
        <w:rPr>
          <w:rFonts w:ascii="Calibri" w:hAnsi="Calibri" w:cs="Calibri"/>
        </w:rPr>
        <w:lastRenderedPageBreak/>
        <w:t>The following are examples of the covered services under this SOW for each type of infrastructure:</w:t>
      </w:r>
    </w:p>
    <w:tbl>
      <w:tblPr>
        <w:tblW w:w="97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0"/>
        <w:gridCol w:w="7470"/>
      </w:tblGrid>
      <w:tr w:rsidR="00DE3531" w:rsidRPr="00B0302C" w14:paraId="4F5F8876" w14:textId="77777777" w:rsidTr="006B4119">
        <w:trPr>
          <w:trHeight w:val="287"/>
        </w:trPr>
        <w:tc>
          <w:tcPr>
            <w:tcW w:w="2250" w:type="dxa"/>
            <w:shd w:val="clear" w:color="auto" w:fill="8EAADC"/>
          </w:tcPr>
          <w:p w14:paraId="46CCB0C6" w14:textId="77777777" w:rsidR="00DE3531" w:rsidRPr="00B0302C" w:rsidRDefault="00DE3531" w:rsidP="00E672AD">
            <w:pPr>
              <w:pStyle w:val="TableParagraph"/>
              <w:spacing w:before="7" w:line="260" w:lineRule="exact"/>
              <w:ind w:left="114"/>
              <w:rPr>
                <w:b/>
              </w:rPr>
            </w:pPr>
            <w:r w:rsidRPr="00B0302C">
              <w:rPr>
                <w:b/>
              </w:rPr>
              <w:t>Covered</w:t>
            </w:r>
            <w:r w:rsidRPr="00B0302C">
              <w:rPr>
                <w:b/>
                <w:spacing w:val="-12"/>
              </w:rPr>
              <w:t xml:space="preserve"> </w:t>
            </w:r>
            <w:r w:rsidRPr="00B0302C">
              <w:rPr>
                <w:b/>
                <w:spacing w:val="-2"/>
              </w:rPr>
              <w:t>Infrastructure</w:t>
            </w:r>
          </w:p>
        </w:tc>
        <w:tc>
          <w:tcPr>
            <w:tcW w:w="7470" w:type="dxa"/>
            <w:shd w:val="clear" w:color="auto" w:fill="8EAADC"/>
          </w:tcPr>
          <w:p w14:paraId="35A67EE9" w14:textId="77777777" w:rsidR="00DE3531" w:rsidRPr="00B0302C" w:rsidRDefault="00DE3531" w:rsidP="00E672AD">
            <w:pPr>
              <w:pStyle w:val="TableParagraph"/>
              <w:spacing w:before="7" w:line="260" w:lineRule="exact"/>
              <w:ind w:left="114"/>
              <w:rPr>
                <w:b/>
              </w:rPr>
            </w:pPr>
            <w:r w:rsidRPr="00B0302C">
              <w:rPr>
                <w:b/>
              </w:rPr>
              <w:t>Covered</w:t>
            </w:r>
            <w:r w:rsidRPr="00B0302C">
              <w:rPr>
                <w:b/>
                <w:spacing w:val="-12"/>
              </w:rPr>
              <w:t xml:space="preserve"> </w:t>
            </w:r>
            <w:r w:rsidRPr="00B0302C">
              <w:rPr>
                <w:b/>
                <w:spacing w:val="-2"/>
              </w:rPr>
              <w:t>Services</w:t>
            </w:r>
          </w:p>
        </w:tc>
      </w:tr>
      <w:tr w:rsidR="00DE3531" w:rsidRPr="00B0302C" w14:paraId="22635A8D" w14:textId="77777777" w:rsidTr="006B4119">
        <w:trPr>
          <w:trHeight w:val="556"/>
        </w:trPr>
        <w:tc>
          <w:tcPr>
            <w:tcW w:w="2250" w:type="dxa"/>
          </w:tcPr>
          <w:p w14:paraId="1F02EC36" w14:textId="77777777" w:rsidR="00DE3531" w:rsidRPr="00B0302C" w:rsidRDefault="00DE3531" w:rsidP="00E672AD">
            <w:pPr>
              <w:pStyle w:val="TableParagraph"/>
              <w:spacing w:before="7"/>
              <w:ind w:left="114"/>
            </w:pPr>
            <w:r w:rsidRPr="00B0302C">
              <w:t>Servers</w:t>
            </w:r>
            <w:r w:rsidRPr="00B0302C">
              <w:rPr>
                <w:spacing w:val="-8"/>
              </w:rPr>
              <w:t xml:space="preserve"> </w:t>
            </w:r>
            <w:r w:rsidRPr="00B0302C">
              <w:t>and</w:t>
            </w:r>
            <w:r w:rsidRPr="00B0302C">
              <w:rPr>
                <w:spacing w:val="-5"/>
              </w:rPr>
              <w:t xml:space="preserve"> </w:t>
            </w:r>
            <w:r w:rsidRPr="00B0302C">
              <w:rPr>
                <w:spacing w:val="-2"/>
              </w:rPr>
              <w:t>endpoints</w:t>
            </w:r>
          </w:p>
        </w:tc>
        <w:tc>
          <w:tcPr>
            <w:tcW w:w="7470" w:type="dxa"/>
          </w:tcPr>
          <w:p w14:paraId="4E2CA92F" w14:textId="77777777" w:rsidR="00DE3531" w:rsidRPr="00B0302C" w:rsidRDefault="00DE3531" w:rsidP="00E672AD">
            <w:pPr>
              <w:pStyle w:val="TableParagraph"/>
              <w:spacing w:line="270" w:lineRule="atLeast"/>
              <w:ind w:left="114" w:right="96"/>
            </w:pPr>
            <w:r w:rsidRPr="00B0302C">
              <w:t>Monitor</w:t>
            </w:r>
            <w:r w:rsidRPr="00B0302C">
              <w:rPr>
                <w:spacing w:val="-13"/>
              </w:rPr>
              <w:t xml:space="preserve"> </w:t>
            </w:r>
            <w:r w:rsidRPr="00B0302C">
              <w:t>performance,</w:t>
            </w:r>
            <w:r w:rsidRPr="00B0302C">
              <w:rPr>
                <w:spacing w:val="-12"/>
              </w:rPr>
              <w:t xml:space="preserve"> </w:t>
            </w:r>
            <w:r w:rsidRPr="00B0302C">
              <w:t>provide</w:t>
            </w:r>
            <w:r w:rsidRPr="00B0302C">
              <w:rPr>
                <w:spacing w:val="-13"/>
              </w:rPr>
              <w:t xml:space="preserve"> </w:t>
            </w:r>
            <w:r w:rsidRPr="00B0302C">
              <w:t>break-fix,</w:t>
            </w:r>
            <w:r w:rsidRPr="00B0302C">
              <w:rPr>
                <w:spacing w:val="-12"/>
              </w:rPr>
              <w:t xml:space="preserve"> </w:t>
            </w:r>
            <w:r w:rsidRPr="00B0302C">
              <w:t>patch</w:t>
            </w:r>
            <w:r w:rsidRPr="00B0302C">
              <w:rPr>
                <w:spacing w:val="-13"/>
              </w:rPr>
              <w:t xml:space="preserve"> </w:t>
            </w:r>
            <w:r w:rsidRPr="00B0302C">
              <w:t>management,</w:t>
            </w:r>
            <w:r w:rsidRPr="00B0302C">
              <w:rPr>
                <w:spacing w:val="-12"/>
              </w:rPr>
              <w:t xml:space="preserve"> </w:t>
            </w:r>
            <w:r w:rsidRPr="00B0302C">
              <w:t>troubleshoot,</w:t>
            </w:r>
            <w:r w:rsidRPr="00B0302C">
              <w:rPr>
                <w:spacing w:val="-13"/>
              </w:rPr>
              <w:t xml:space="preserve"> </w:t>
            </w:r>
            <w:r w:rsidRPr="00B0302C">
              <w:t>identify</w:t>
            </w:r>
            <w:r w:rsidRPr="00B0302C">
              <w:rPr>
                <w:spacing w:val="-12"/>
              </w:rPr>
              <w:t xml:space="preserve"> </w:t>
            </w:r>
            <w:r w:rsidRPr="00B0302C">
              <w:t>end</w:t>
            </w:r>
            <w:r w:rsidRPr="00B0302C">
              <w:rPr>
                <w:spacing w:val="-10"/>
              </w:rPr>
              <w:t>-of-life</w:t>
            </w:r>
            <w:r w:rsidRPr="00B0302C">
              <w:t xml:space="preserve"> operating systems</w:t>
            </w:r>
          </w:p>
        </w:tc>
      </w:tr>
      <w:tr w:rsidR="00DE3531" w:rsidRPr="00B0302C" w14:paraId="53E80A2F" w14:textId="77777777" w:rsidTr="006B4119">
        <w:trPr>
          <w:trHeight w:val="555"/>
        </w:trPr>
        <w:tc>
          <w:tcPr>
            <w:tcW w:w="2250" w:type="dxa"/>
          </w:tcPr>
          <w:p w14:paraId="58958AF8" w14:textId="77777777" w:rsidR="00DE3531" w:rsidRPr="00B0302C" w:rsidRDefault="00DE3531" w:rsidP="00E672AD">
            <w:pPr>
              <w:pStyle w:val="TableParagraph"/>
              <w:spacing w:before="7"/>
              <w:ind w:left="114"/>
            </w:pPr>
            <w:r w:rsidRPr="00B0302C">
              <w:t>Hypervisor</w:t>
            </w:r>
            <w:r w:rsidRPr="00B0302C">
              <w:rPr>
                <w:spacing w:val="-4"/>
              </w:rPr>
              <w:t xml:space="preserve"> </w:t>
            </w:r>
            <w:r w:rsidRPr="00B0302C">
              <w:t>and</w:t>
            </w:r>
            <w:r w:rsidRPr="00B0302C">
              <w:rPr>
                <w:spacing w:val="-7"/>
              </w:rPr>
              <w:t xml:space="preserve"> </w:t>
            </w:r>
            <w:r w:rsidRPr="00B0302C">
              <w:rPr>
                <w:spacing w:val="-5"/>
              </w:rPr>
              <w:t>VM</w:t>
            </w:r>
          </w:p>
        </w:tc>
        <w:tc>
          <w:tcPr>
            <w:tcW w:w="7470" w:type="dxa"/>
          </w:tcPr>
          <w:p w14:paraId="7C012B53" w14:textId="77777777" w:rsidR="00DE3531" w:rsidRPr="00B0302C" w:rsidRDefault="00DE3531" w:rsidP="00E672AD">
            <w:pPr>
              <w:pStyle w:val="TableParagraph"/>
              <w:spacing w:line="270" w:lineRule="atLeast"/>
              <w:ind w:left="114"/>
            </w:pPr>
            <w:r w:rsidRPr="00B0302C">
              <w:t>Monitor</w:t>
            </w:r>
            <w:r w:rsidRPr="00B0302C">
              <w:rPr>
                <w:spacing w:val="-13"/>
              </w:rPr>
              <w:t xml:space="preserve"> </w:t>
            </w:r>
            <w:r w:rsidRPr="00B0302C">
              <w:t>performance,</w:t>
            </w:r>
            <w:r w:rsidRPr="00B0302C">
              <w:rPr>
                <w:spacing w:val="-12"/>
              </w:rPr>
              <w:t xml:space="preserve"> </w:t>
            </w:r>
            <w:r w:rsidRPr="00B0302C">
              <w:t>provide</w:t>
            </w:r>
            <w:r w:rsidRPr="00B0302C">
              <w:rPr>
                <w:spacing w:val="-13"/>
              </w:rPr>
              <w:t xml:space="preserve"> </w:t>
            </w:r>
            <w:r w:rsidRPr="00B0302C">
              <w:t>break-fix,</w:t>
            </w:r>
            <w:r w:rsidRPr="00B0302C">
              <w:rPr>
                <w:spacing w:val="-12"/>
              </w:rPr>
              <w:t xml:space="preserve"> </w:t>
            </w:r>
            <w:r w:rsidRPr="00B0302C">
              <w:t>patch</w:t>
            </w:r>
            <w:r w:rsidRPr="00B0302C">
              <w:rPr>
                <w:spacing w:val="-13"/>
              </w:rPr>
              <w:t xml:space="preserve"> </w:t>
            </w:r>
            <w:r w:rsidRPr="00B0302C">
              <w:t>management,</w:t>
            </w:r>
            <w:r w:rsidRPr="00B0302C">
              <w:rPr>
                <w:spacing w:val="-12"/>
              </w:rPr>
              <w:t xml:space="preserve"> </w:t>
            </w:r>
            <w:r w:rsidRPr="00B0302C">
              <w:t>troubleshoot,</w:t>
            </w:r>
            <w:r w:rsidRPr="00B0302C">
              <w:rPr>
                <w:spacing w:val="-13"/>
              </w:rPr>
              <w:t xml:space="preserve"> </w:t>
            </w:r>
            <w:r w:rsidRPr="00B0302C">
              <w:t>load</w:t>
            </w:r>
            <w:r w:rsidRPr="00B0302C">
              <w:rPr>
                <w:spacing w:val="-12"/>
              </w:rPr>
              <w:t xml:space="preserve"> </w:t>
            </w:r>
            <w:r w:rsidRPr="00B0302C">
              <w:t>balancing, identify end of life operating systems</w:t>
            </w:r>
          </w:p>
        </w:tc>
      </w:tr>
      <w:tr w:rsidR="00DE3531" w:rsidRPr="00B0302C" w14:paraId="2AB0D62B" w14:textId="77777777" w:rsidTr="006B4119">
        <w:trPr>
          <w:trHeight w:val="556"/>
        </w:trPr>
        <w:tc>
          <w:tcPr>
            <w:tcW w:w="2250" w:type="dxa"/>
          </w:tcPr>
          <w:p w14:paraId="07DB90CF" w14:textId="77777777" w:rsidR="00DE3531" w:rsidRPr="00B0302C" w:rsidRDefault="00DE3531" w:rsidP="00E672AD">
            <w:pPr>
              <w:pStyle w:val="TableParagraph"/>
              <w:spacing w:before="7"/>
              <w:ind w:left="114"/>
            </w:pPr>
            <w:r w:rsidRPr="00B0302C">
              <w:rPr>
                <w:spacing w:val="-2"/>
              </w:rPr>
              <w:t>Firewall</w:t>
            </w:r>
          </w:p>
        </w:tc>
        <w:tc>
          <w:tcPr>
            <w:tcW w:w="7470" w:type="dxa"/>
          </w:tcPr>
          <w:p w14:paraId="0D4EFF9D" w14:textId="77777777" w:rsidR="00DE3531" w:rsidRPr="00B0302C" w:rsidRDefault="00DE3531" w:rsidP="00E672AD">
            <w:pPr>
              <w:pStyle w:val="TableParagraph"/>
              <w:spacing w:line="270" w:lineRule="atLeast"/>
              <w:ind w:left="114" w:right="96"/>
            </w:pPr>
            <w:r w:rsidRPr="00B0302C">
              <w:t>Firewall</w:t>
            </w:r>
            <w:r w:rsidRPr="00B0302C">
              <w:rPr>
                <w:spacing w:val="-13"/>
              </w:rPr>
              <w:t xml:space="preserve"> </w:t>
            </w:r>
            <w:r w:rsidRPr="00B0302C">
              <w:t>management</w:t>
            </w:r>
            <w:r w:rsidRPr="00B0302C">
              <w:rPr>
                <w:spacing w:val="-12"/>
              </w:rPr>
              <w:t xml:space="preserve"> </w:t>
            </w:r>
            <w:r w:rsidRPr="00B0302C">
              <w:t>(up</w:t>
            </w:r>
            <w:r w:rsidRPr="00B0302C">
              <w:rPr>
                <w:spacing w:val="-8"/>
              </w:rPr>
              <w:t xml:space="preserve"> </w:t>
            </w:r>
            <w:r w:rsidRPr="00B0302C">
              <w:t>to</w:t>
            </w:r>
            <w:r w:rsidRPr="00B0302C">
              <w:rPr>
                <w:spacing w:val="-11"/>
              </w:rPr>
              <w:t xml:space="preserve"> </w:t>
            </w:r>
            <w:r w:rsidRPr="00B0302C">
              <w:t>2</w:t>
            </w:r>
            <w:r w:rsidRPr="00B0302C">
              <w:rPr>
                <w:spacing w:val="-7"/>
              </w:rPr>
              <w:t xml:space="preserve"> </w:t>
            </w:r>
            <w:r w:rsidRPr="00B0302C">
              <w:t>hours</w:t>
            </w:r>
            <w:r w:rsidRPr="00B0302C">
              <w:rPr>
                <w:spacing w:val="-12"/>
              </w:rPr>
              <w:t xml:space="preserve"> </w:t>
            </w:r>
            <w:r w:rsidRPr="00B0302C">
              <w:t>monthly),</w:t>
            </w:r>
            <w:r w:rsidRPr="00B0302C">
              <w:rPr>
                <w:spacing w:val="-8"/>
              </w:rPr>
              <w:t xml:space="preserve"> </w:t>
            </w:r>
            <w:r w:rsidRPr="00B0302C">
              <w:t>break-fix,</w:t>
            </w:r>
            <w:r w:rsidRPr="00B0302C">
              <w:rPr>
                <w:spacing w:val="-8"/>
              </w:rPr>
              <w:t xml:space="preserve"> </w:t>
            </w:r>
            <w:r w:rsidRPr="00B0302C">
              <w:t>schedule</w:t>
            </w:r>
            <w:r w:rsidRPr="00B0302C">
              <w:rPr>
                <w:spacing w:val="-8"/>
              </w:rPr>
              <w:t xml:space="preserve"> </w:t>
            </w:r>
            <w:r w:rsidRPr="00B0302C">
              <w:t>and</w:t>
            </w:r>
            <w:r w:rsidRPr="00B0302C">
              <w:rPr>
                <w:spacing w:val="-8"/>
              </w:rPr>
              <w:t xml:space="preserve"> </w:t>
            </w:r>
            <w:r w:rsidRPr="00B0302C">
              <w:t>install</w:t>
            </w:r>
            <w:r w:rsidRPr="00B0302C">
              <w:rPr>
                <w:spacing w:val="-13"/>
              </w:rPr>
              <w:t xml:space="preserve"> </w:t>
            </w:r>
            <w:r w:rsidRPr="00B0302C">
              <w:t>firmware updates and patching</w:t>
            </w:r>
          </w:p>
        </w:tc>
      </w:tr>
      <w:tr w:rsidR="00DE3531" w:rsidRPr="00B0302C" w14:paraId="4C72334A" w14:textId="77777777" w:rsidTr="006B4119">
        <w:trPr>
          <w:trHeight w:val="301"/>
        </w:trPr>
        <w:tc>
          <w:tcPr>
            <w:tcW w:w="2250" w:type="dxa"/>
            <w:tcBorders>
              <w:bottom w:val="single" w:sz="2" w:space="0" w:color="000000"/>
            </w:tcBorders>
          </w:tcPr>
          <w:p w14:paraId="5D1508EF" w14:textId="77777777" w:rsidR="00DE3531" w:rsidRPr="00B0302C" w:rsidRDefault="00DE3531" w:rsidP="00E672AD">
            <w:pPr>
              <w:pStyle w:val="TableParagraph"/>
              <w:spacing w:before="7"/>
              <w:ind w:left="114"/>
            </w:pPr>
            <w:r w:rsidRPr="00B0302C">
              <w:rPr>
                <w:spacing w:val="-2"/>
              </w:rPr>
              <w:t>Switch</w:t>
            </w:r>
          </w:p>
        </w:tc>
        <w:tc>
          <w:tcPr>
            <w:tcW w:w="7470" w:type="dxa"/>
            <w:tcBorders>
              <w:bottom w:val="single" w:sz="2" w:space="0" w:color="000000"/>
            </w:tcBorders>
          </w:tcPr>
          <w:p w14:paraId="0B04A673" w14:textId="77777777" w:rsidR="00DE3531" w:rsidRPr="00B0302C" w:rsidRDefault="00DE3531" w:rsidP="00E672AD">
            <w:pPr>
              <w:pStyle w:val="TableParagraph"/>
              <w:spacing w:before="7"/>
              <w:ind w:left="114"/>
            </w:pPr>
            <w:r w:rsidRPr="00B0302C">
              <w:t>Patch</w:t>
            </w:r>
            <w:r w:rsidRPr="00B0302C">
              <w:rPr>
                <w:spacing w:val="-13"/>
              </w:rPr>
              <w:t xml:space="preserve"> </w:t>
            </w:r>
            <w:r w:rsidRPr="00B0302C">
              <w:t>management,</w:t>
            </w:r>
            <w:r w:rsidRPr="00B0302C">
              <w:rPr>
                <w:spacing w:val="-11"/>
              </w:rPr>
              <w:t xml:space="preserve"> </w:t>
            </w:r>
            <w:r w:rsidRPr="00B0302C">
              <w:t>configure</w:t>
            </w:r>
            <w:r w:rsidRPr="00B0302C">
              <w:rPr>
                <w:spacing w:val="-13"/>
              </w:rPr>
              <w:t xml:space="preserve"> </w:t>
            </w:r>
            <w:r w:rsidRPr="00B0302C">
              <w:t>VLAN,</w:t>
            </w:r>
            <w:r w:rsidRPr="00B0302C">
              <w:rPr>
                <w:spacing w:val="-7"/>
              </w:rPr>
              <w:t xml:space="preserve"> </w:t>
            </w:r>
            <w:r w:rsidRPr="00B0302C">
              <w:t>monitor</w:t>
            </w:r>
            <w:r w:rsidRPr="00B0302C">
              <w:rPr>
                <w:spacing w:val="-7"/>
              </w:rPr>
              <w:t xml:space="preserve"> </w:t>
            </w:r>
            <w:r w:rsidRPr="00B0302C">
              <w:t>for</w:t>
            </w:r>
            <w:r w:rsidRPr="00B0302C">
              <w:rPr>
                <w:spacing w:val="-11"/>
              </w:rPr>
              <w:t xml:space="preserve"> </w:t>
            </w:r>
            <w:r w:rsidRPr="00B0302C">
              <w:t>failed</w:t>
            </w:r>
            <w:r w:rsidRPr="00B0302C">
              <w:rPr>
                <w:spacing w:val="-8"/>
              </w:rPr>
              <w:t xml:space="preserve"> </w:t>
            </w:r>
            <w:r w:rsidRPr="00B0302C">
              <w:t>ports,</w:t>
            </w:r>
            <w:r w:rsidRPr="00B0302C">
              <w:rPr>
                <w:spacing w:val="-4"/>
              </w:rPr>
              <w:t xml:space="preserve"> </w:t>
            </w:r>
            <w:r w:rsidRPr="00B0302C">
              <w:t>identify</w:t>
            </w:r>
            <w:r w:rsidRPr="00B0302C">
              <w:rPr>
                <w:spacing w:val="-7"/>
              </w:rPr>
              <w:t xml:space="preserve"> </w:t>
            </w:r>
            <w:r w:rsidRPr="00B0302C">
              <w:t>end</w:t>
            </w:r>
            <w:r w:rsidRPr="00B0302C">
              <w:rPr>
                <w:spacing w:val="-6"/>
              </w:rPr>
              <w:t xml:space="preserve"> </w:t>
            </w:r>
            <w:r w:rsidRPr="00B0302C">
              <w:t>of</w:t>
            </w:r>
            <w:r w:rsidRPr="00B0302C">
              <w:rPr>
                <w:spacing w:val="-7"/>
              </w:rPr>
              <w:t xml:space="preserve"> </w:t>
            </w:r>
            <w:r w:rsidRPr="00B0302C">
              <w:t>life</w:t>
            </w:r>
            <w:r w:rsidRPr="00B0302C">
              <w:rPr>
                <w:spacing w:val="-9"/>
              </w:rPr>
              <w:t xml:space="preserve"> </w:t>
            </w:r>
            <w:r w:rsidRPr="00B0302C">
              <w:t>of</w:t>
            </w:r>
            <w:r w:rsidRPr="00B0302C">
              <w:rPr>
                <w:spacing w:val="-8"/>
              </w:rPr>
              <w:t xml:space="preserve"> </w:t>
            </w:r>
            <w:r w:rsidRPr="00B0302C">
              <w:rPr>
                <w:spacing w:val="-2"/>
              </w:rPr>
              <w:t>hardware</w:t>
            </w:r>
          </w:p>
        </w:tc>
      </w:tr>
      <w:tr w:rsidR="00DE3531" w:rsidRPr="00B0302C" w14:paraId="66308AE6" w14:textId="77777777" w:rsidTr="006B4119">
        <w:trPr>
          <w:trHeight w:val="553"/>
        </w:trPr>
        <w:tc>
          <w:tcPr>
            <w:tcW w:w="2250" w:type="dxa"/>
          </w:tcPr>
          <w:p w14:paraId="5426697C" w14:textId="77777777" w:rsidR="00DE3531" w:rsidRPr="00B0302C" w:rsidRDefault="00DE3531" w:rsidP="00E672AD">
            <w:pPr>
              <w:pStyle w:val="TableParagraph"/>
              <w:spacing w:before="5"/>
              <w:ind w:left="114"/>
            </w:pPr>
            <w:r w:rsidRPr="00B0302C">
              <w:rPr>
                <w:spacing w:val="-2"/>
              </w:rPr>
              <w:t>Storage</w:t>
            </w:r>
            <w:r w:rsidRPr="00B0302C">
              <w:rPr>
                <w:spacing w:val="1"/>
              </w:rPr>
              <w:t xml:space="preserve"> </w:t>
            </w:r>
            <w:r w:rsidRPr="00B0302C">
              <w:rPr>
                <w:spacing w:val="-2"/>
              </w:rPr>
              <w:t>Frame</w:t>
            </w:r>
          </w:p>
        </w:tc>
        <w:tc>
          <w:tcPr>
            <w:tcW w:w="7470" w:type="dxa"/>
          </w:tcPr>
          <w:p w14:paraId="60A99E73" w14:textId="77777777" w:rsidR="00DE3531" w:rsidRPr="00B0302C" w:rsidRDefault="00DE3531" w:rsidP="00E672AD">
            <w:pPr>
              <w:pStyle w:val="TableParagraph"/>
              <w:spacing w:line="270" w:lineRule="atLeast"/>
              <w:ind w:left="115" w:right="96"/>
            </w:pPr>
            <w:r w:rsidRPr="00B0302C">
              <w:t>Monitor</w:t>
            </w:r>
            <w:r w:rsidRPr="00B0302C">
              <w:rPr>
                <w:spacing w:val="-13"/>
              </w:rPr>
              <w:t xml:space="preserve"> </w:t>
            </w:r>
            <w:r w:rsidRPr="00B0302C">
              <w:t>performance,</w:t>
            </w:r>
            <w:r w:rsidRPr="00B0302C">
              <w:rPr>
                <w:spacing w:val="-12"/>
              </w:rPr>
              <w:t xml:space="preserve"> </w:t>
            </w:r>
            <w:r w:rsidRPr="00B0302C">
              <w:t>provide</w:t>
            </w:r>
            <w:r w:rsidRPr="00B0302C">
              <w:rPr>
                <w:spacing w:val="-13"/>
              </w:rPr>
              <w:t xml:space="preserve"> </w:t>
            </w:r>
            <w:r w:rsidRPr="00B0302C">
              <w:t>break-fix,</w:t>
            </w:r>
            <w:r w:rsidRPr="00B0302C">
              <w:rPr>
                <w:spacing w:val="-12"/>
              </w:rPr>
              <w:t xml:space="preserve"> </w:t>
            </w:r>
            <w:r w:rsidRPr="00B0302C">
              <w:t>firmware</w:t>
            </w:r>
            <w:r w:rsidRPr="00B0302C">
              <w:rPr>
                <w:spacing w:val="-13"/>
              </w:rPr>
              <w:t xml:space="preserve"> </w:t>
            </w:r>
            <w:r w:rsidRPr="00B0302C">
              <w:t>updates,</w:t>
            </w:r>
            <w:r w:rsidRPr="00B0302C">
              <w:rPr>
                <w:spacing w:val="-12"/>
              </w:rPr>
              <w:t xml:space="preserve"> </w:t>
            </w:r>
            <w:r w:rsidRPr="00B0302C">
              <w:t>troubleshoot</w:t>
            </w:r>
            <w:r w:rsidRPr="00B0302C">
              <w:rPr>
                <w:spacing w:val="-13"/>
              </w:rPr>
              <w:t xml:space="preserve"> </w:t>
            </w:r>
            <w:r w:rsidRPr="00B0302C">
              <w:t>space</w:t>
            </w:r>
            <w:r w:rsidRPr="00B0302C">
              <w:rPr>
                <w:spacing w:val="-12"/>
              </w:rPr>
              <w:t xml:space="preserve"> </w:t>
            </w:r>
            <w:r w:rsidRPr="00B0302C">
              <w:t>issues, volume level access, identify end of life hardware</w:t>
            </w:r>
          </w:p>
        </w:tc>
      </w:tr>
      <w:tr w:rsidR="00DE3531" w:rsidRPr="00B0302C" w14:paraId="21BCFF21" w14:textId="77777777" w:rsidTr="006B4119">
        <w:trPr>
          <w:trHeight w:val="555"/>
        </w:trPr>
        <w:tc>
          <w:tcPr>
            <w:tcW w:w="2250" w:type="dxa"/>
          </w:tcPr>
          <w:p w14:paraId="6F4D93AF" w14:textId="77777777" w:rsidR="00DE3531" w:rsidRPr="00B0302C" w:rsidRDefault="00DE3531" w:rsidP="00E672AD">
            <w:pPr>
              <w:pStyle w:val="TableParagraph"/>
              <w:spacing w:before="7"/>
              <w:ind w:left="114"/>
            </w:pPr>
            <w:r w:rsidRPr="00B0302C">
              <w:t>Active</w:t>
            </w:r>
            <w:r w:rsidRPr="00B0302C">
              <w:rPr>
                <w:spacing w:val="-10"/>
              </w:rPr>
              <w:t xml:space="preserve"> </w:t>
            </w:r>
            <w:r w:rsidRPr="00B0302C">
              <w:rPr>
                <w:spacing w:val="-2"/>
              </w:rPr>
              <w:t>Directory</w:t>
            </w:r>
          </w:p>
        </w:tc>
        <w:tc>
          <w:tcPr>
            <w:tcW w:w="7470" w:type="dxa"/>
          </w:tcPr>
          <w:p w14:paraId="0E27A3A1" w14:textId="77777777" w:rsidR="00DE3531" w:rsidRPr="00B0302C" w:rsidRDefault="00DE3531" w:rsidP="00E672AD">
            <w:pPr>
              <w:pStyle w:val="TableParagraph"/>
              <w:spacing w:line="270" w:lineRule="atLeast"/>
              <w:ind w:left="115"/>
            </w:pPr>
            <w:r w:rsidRPr="00B0302C">
              <w:t>Manage</w:t>
            </w:r>
            <w:r w:rsidRPr="00B0302C">
              <w:rPr>
                <w:spacing w:val="-7"/>
              </w:rPr>
              <w:t xml:space="preserve"> </w:t>
            </w:r>
            <w:r w:rsidRPr="00B0302C">
              <w:t>user</w:t>
            </w:r>
            <w:r w:rsidRPr="00B0302C">
              <w:rPr>
                <w:spacing w:val="-5"/>
              </w:rPr>
              <w:t xml:space="preserve"> </w:t>
            </w:r>
            <w:r w:rsidRPr="00B0302C">
              <w:t>accounts,</w:t>
            </w:r>
            <w:r w:rsidRPr="00B0302C">
              <w:rPr>
                <w:spacing w:val="-10"/>
              </w:rPr>
              <w:t xml:space="preserve"> </w:t>
            </w:r>
            <w:r w:rsidRPr="00B0302C">
              <w:t>groups,</w:t>
            </w:r>
            <w:r w:rsidRPr="00B0302C">
              <w:rPr>
                <w:spacing w:val="-10"/>
              </w:rPr>
              <w:t xml:space="preserve"> </w:t>
            </w:r>
            <w:r w:rsidRPr="00B0302C">
              <w:t>profiles,</w:t>
            </w:r>
            <w:r w:rsidRPr="00B0302C">
              <w:rPr>
                <w:spacing w:val="-10"/>
              </w:rPr>
              <w:t xml:space="preserve"> </w:t>
            </w:r>
            <w:r w:rsidRPr="00B0302C">
              <w:t>address</w:t>
            </w:r>
            <w:r w:rsidRPr="00B0302C">
              <w:rPr>
                <w:spacing w:val="-8"/>
              </w:rPr>
              <w:t xml:space="preserve"> </w:t>
            </w:r>
            <w:r w:rsidRPr="00B0302C">
              <w:t>FSMO</w:t>
            </w:r>
            <w:r w:rsidRPr="00B0302C">
              <w:rPr>
                <w:spacing w:val="-8"/>
              </w:rPr>
              <w:t xml:space="preserve"> </w:t>
            </w:r>
            <w:r w:rsidRPr="00B0302C">
              <w:t>issues,</w:t>
            </w:r>
            <w:r w:rsidRPr="00B0302C">
              <w:rPr>
                <w:spacing w:val="-8"/>
              </w:rPr>
              <w:t xml:space="preserve"> </w:t>
            </w:r>
            <w:r w:rsidRPr="00B0302C">
              <w:t>up</w:t>
            </w:r>
            <w:r w:rsidRPr="00B0302C">
              <w:rPr>
                <w:spacing w:val="-8"/>
              </w:rPr>
              <w:t xml:space="preserve"> </w:t>
            </w:r>
            <w:r w:rsidRPr="00B0302C">
              <w:t>to</w:t>
            </w:r>
            <w:r w:rsidRPr="00B0302C">
              <w:rPr>
                <w:spacing w:val="-10"/>
              </w:rPr>
              <w:t xml:space="preserve"> </w:t>
            </w:r>
            <w:r w:rsidRPr="00B0302C">
              <w:t>4</w:t>
            </w:r>
            <w:r w:rsidRPr="00B0302C">
              <w:rPr>
                <w:spacing w:val="-5"/>
              </w:rPr>
              <w:t xml:space="preserve"> </w:t>
            </w:r>
            <w:r w:rsidRPr="00B0302C">
              <w:t>hours</w:t>
            </w:r>
            <w:r w:rsidRPr="00B0302C">
              <w:rPr>
                <w:spacing w:val="-10"/>
              </w:rPr>
              <w:t xml:space="preserve"> </w:t>
            </w:r>
            <w:r w:rsidRPr="00B0302C">
              <w:t>monthly</w:t>
            </w:r>
            <w:r w:rsidRPr="00B0302C">
              <w:rPr>
                <w:spacing w:val="-6"/>
              </w:rPr>
              <w:t xml:space="preserve"> </w:t>
            </w:r>
            <w:r w:rsidRPr="00B0302C">
              <w:t>for</w:t>
            </w:r>
            <w:r w:rsidRPr="00B0302C">
              <w:rPr>
                <w:spacing w:val="-12"/>
              </w:rPr>
              <w:t xml:space="preserve"> </w:t>
            </w:r>
            <w:r w:rsidRPr="00B0302C">
              <w:t>AD Group Policy Object (GPO) management</w:t>
            </w:r>
          </w:p>
        </w:tc>
      </w:tr>
    </w:tbl>
    <w:p w14:paraId="369AE087" w14:textId="77777777" w:rsidR="000742D4" w:rsidRPr="00B0302C" w:rsidRDefault="000742D4" w:rsidP="00D23D82">
      <w:pPr>
        <w:pStyle w:val="ListBullet"/>
        <w:numPr>
          <w:ilvl w:val="0"/>
          <w:numId w:val="0"/>
        </w:numPr>
        <w:rPr>
          <w:rFonts w:ascii="Calibri" w:hAnsi="Calibri" w:cs="Calibri"/>
          <w:b/>
          <w:bCs/>
        </w:rPr>
      </w:pPr>
    </w:p>
    <w:p w14:paraId="4E8CDF91" w14:textId="007228FB" w:rsidR="00D23D82" w:rsidRPr="00B0302C" w:rsidRDefault="00D23D82" w:rsidP="00D23D82">
      <w:pPr>
        <w:pStyle w:val="ListBullet"/>
        <w:numPr>
          <w:ilvl w:val="0"/>
          <w:numId w:val="0"/>
        </w:numPr>
        <w:rPr>
          <w:rFonts w:ascii="Calibri" w:hAnsi="Calibri" w:cs="Calibri"/>
          <w:b/>
          <w:bCs/>
        </w:rPr>
      </w:pPr>
      <w:r w:rsidRPr="00B0302C">
        <w:rPr>
          <w:rFonts w:ascii="Calibri" w:hAnsi="Calibri" w:cs="Calibri"/>
          <w:b/>
          <w:bCs/>
        </w:rPr>
        <w:t>Patch &amp; Firmware Management</w:t>
      </w:r>
    </w:p>
    <w:p w14:paraId="0D699918"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InfoSystems is dedicated to cybersecurity best practices. At a minimum, antivirus software updates and regular patching will be performed to mitigate constant cyber threats and potentially unstable systems. If Customer chooses to manage their antivirus software and/or refuse recommended patching updates, InfoSystems is not liable or responsible for damages incurred from missing antivirus updates or missing patches including, but not limited to, monetary damages, reputational harm, loss of productivity, etc.</w:t>
      </w:r>
    </w:p>
    <w:p w14:paraId="2722E04C" w14:textId="77777777" w:rsidR="00D23D82" w:rsidRPr="00B0302C" w:rsidRDefault="00D23D82" w:rsidP="00D23D82">
      <w:pPr>
        <w:pStyle w:val="ListBullet"/>
        <w:numPr>
          <w:ilvl w:val="0"/>
          <w:numId w:val="0"/>
        </w:numPr>
        <w:rPr>
          <w:rFonts w:ascii="Calibri" w:hAnsi="Calibri" w:cs="Calibri"/>
          <w:b/>
          <w:bCs/>
        </w:rPr>
      </w:pPr>
      <w:r w:rsidRPr="00B0302C">
        <w:rPr>
          <w:rFonts w:ascii="Calibri" w:hAnsi="Calibri" w:cs="Calibri"/>
          <w:b/>
          <w:bCs/>
        </w:rPr>
        <w:t>Move, Add, Change (MAC)</w:t>
      </w:r>
    </w:p>
    <w:p w14:paraId="00038E64"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Adding or deleting managed infrastructure or endpoints will change the monthly charge. InfoSystems will help you determine whether the change is significant enough to modify this SOW or if another SOW is required.</w:t>
      </w:r>
    </w:p>
    <w:p w14:paraId="237A5072"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Modification to this SOW will be executed by an Addendum issued by InfoSystems and approved by the Customer.</w:t>
      </w:r>
    </w:p>
    <w:p w14:paraId="266CEF26"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MACS will be billed to the Customer at standard time and materials rates.</w:t>
      </w:r>
    </w:p>
    <w:p w14:paraId="3C1F3BEA"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Following are some of the examples of Move, Add and Changes and onsite requests that will incur additional fees:</w:t>
      </w:r>
    </w:p>
    <w:p w14:paraId="154A5D8F" w14:textId="77777777" w:rsidR="00D23D82" w:rsidRPr="00B0302C" w:rsidRDefault="00D23D82" w:rsidP="006B4119">
      <w:pPr>
        <w:pStyle w:val="ListBullet"/>
        <w:numPr>
          <w:ilvl w:val="0"/>
          <w:numId w:val="3"/>
        </w:numPr>
        <w:ind w:left="630"/>
        <w:rPr>
          <w:rFonts w:ascii="Calibri" w:hAnsi="Calibri" w:cs="Calibri"/>
        </w:rPr>
      </w:pPr>
      <w:r w:rsidRPr="00B0302C">
        <w:rPr>
          <w:rFonts w:ascii="Calibri" w:hAnsi="Calibri" w:cs="Calibri"/>
        </w:rPr>
        <w:t>Deploying a new endpoint - laptop, desktop</w:t>
      </w:r>
    </w:p>
    <w:p w14:paraId="60F3F523" w14:textId="77777777" w:rsidR="00D23D82" w:rsidRPr="00B0302C" w:rsidRDefault="00D23D82" w:rsidP="006B4119">
      <w:pPr>
        <w:pStyle w:val="ListBullet"/>
        <w:numPr>
          <w:ilvl w:val="0"/>
          <w:numId w:val="3"/>
        </w:numPr>
        <w:ind w:left="630"/>
        <w:rPr>
          <w:rFonts w:ascii="Calibri" w:hAnsi="Calibri" w:cs="Calibri"/>
        </w:rPr>
      </w:pPr>
      <w:r w:rsidRPr="00B0302C">
        <w:rPr>
          <w:rFonts w:ascii="Calibri" w:hAnsi="Calibri" w:cs="Calibri"/>
        </w:rPr>
        <w:t>Deploying a new server (physical or virtual)</w:t>
      </w:r>
    </w:p>
    <w:p w14:paraId="0A1036C8" w14:textId="77777777" w:rsidR="00D23D82" w:rsidRPr="00B0302C" w:rsidRDefault="00D23D82" w:rsidP="006B4119">
      <w:pPr>
        <w:pStyle w:val="ListBullet"/>
        <w:numPr>
          <w:ilvl w:val="0"/>
          <w:numId w:val="3"/>
        </w:numPr>
        <w:ind w:left="630"/>
        <w:rPr>
          <w:rFonts w:ascii="Calibri" w:hAnsi="Calibri" w:cs="Calibri"/>
        </w:rPr>
      </w:pPr>
      <w:r w:rsidRPr="00B0302C">
        <w:rPr>
          <w:rFonts w:ascii="Calibri" w:hAnsi="Calibri" w:cs="Calibri"/>
        </w:rPr>
        <w:t>Deploying a managed switch or firewall</w:t>
      </w:r>
    </w:p>
    <w:p w14:paraId="2B123BD3" w14:textId="77777777" w:rsidR="00D23D82" w:rsidRPr="00B0302C" w:rsidRDefault="00D23D82" w:rsidP="006B4119">
      <w:pPr>
        <w:pStyle w:val="ListBullet"/>
        <w:numPr>
          <w:ilvl w:val="0"/>
          <w:numId w:val="3"/>
        </w:numPr>
        <w:ind w:left="630"/>
        <w:rPr>
          <w:rFonts w:ascii="Calibri" w:hAnsi="Calibri" w:cs="Calibri"/>
        </w:rPr>
      </w:pPr>
      <w:r w:rsidRPr="00B0302C">
        <w:rPr>
          <w:rFonts w:ascii="Calibri" w:hAnsi="Calibri" w:cs="Calibri"/>
        </w:rPr>
        <w:t>Adding a storage frame or modifying existing storage</w:t>
      </w:r>
    </w:p>
    <w:p w14:paraId="758DC4B9" w14:textId="77777777" w:rsidR="00D23D82" w:rsidRPr="00B0302C" w:rsidRDefault="00D23D82" w:rsidP="006B4119">
      <w:pPr>
        <w:pStyle w:val="ListBullet"/>
        <w:numPr>
          <w:ilvl w:val="0"/>
          <w:numId w:val="3"/>
        </w:numPr>
        <w:ind w:left="630"/>
        <w:contextualSpacing w:val="0"/>
        <w:rPr>
          <w:rFonts w:ascii="Calibri" w:hAnsi="Calibri" w:cs="Calibri"/>
        </w:rPr>
      </w:pPr>
      <w:r w:rsidRPr="00B0302C">
        <w:rPr>
          <w:rFonts w:ascii="Calibri" w:hAnsi="Calibri" w:cs="Calibri"/>
        </w:rPr>
        <w:t>Support for any significant system changes, upgrades, or migrations</w:t>
      </w:r>
    </w:p>
    <w:p w14:paraId="5AC0DA74" w14:textId="77777777" w:rsidR="00D23D82" w:rsidRPr="00B0302C" w:rsidRDefault="00D23D82" w:rsidP="00D23D82">
      <w:pPr>
        <w:pStyle w:val="ListBullet"/>
        <w:numPr>
          <w:ilvl w:val="0"/>
          <w:numId w:val="0"/>
        </w:numPr>
        <w:rPr>
          <w:rFonts w:ascii="Calibri" w:hAnsi="Calibri" w:cs="Calibri"/>
          <w:b/>
          <w:bCs/>
        </w:rPr>
      </w:pPr>
      <w:r w:rsidRPr="00B0302C">
        <w:rPr>
          <w:rFonts w:ascii="Calibri" w:hAnsi="Calibri" w:cs="Calibri"/>
          <w:b/>
          <w:bCs/>
        </w:rPr>
        <w:t>Third-Party Hardware/Software Support</w:t>
      </w:r>
    </w:p>
    <w:p w14:paraId="338967B0"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t>InfoSystems will escalate to the Customers’ hardware and software vendors for tech support as commercially reasonable to resolve the issues as long as the environment is currently licensed, up-to-date and vendor supported. Customer agrees to make InfoSystems an agent for the purpose of managing these escalations and follow-ups. InfoSystems vendor coordination services may be billed as Time &amp; Materials consumed.</w:t>
      </w:r>
    </w:p>
    <w:p w14:paraId="395B92B8" w14:textId="77777777" w:rsidR="00D23D82" w:rsidRPr="00B0302C" w:rsidRDefault="00D23D82" w:rsidP="006B4119">
      <w:pPr>
        <w:pStyle w:val="ListBullet"/>
        <w:numPr>
          <w:ilvl w:val="0"/>
          <w:numId w:val="0"/>
        </w:numPr>
        <w:contextualSpacing w:val="0"/>
        <w:rPr>
          <w:rFonts w:ascii="Calibri" w:hAnsi="Calibri" w:cs="Calibri"/>
        </w:rPr>
      </w:pPr>
      <w:r w:rsidRPr="00B0302C">
        <w:rPr>
          <w:rFonts w:ascii="Calibri" w:hAnsi="Calibri" w:cs="Calibri"/>
        </w:rPr>
        <w:lastRenderedPageBreak/>
        <w:t>Note: SLAs defined in this SOW can be negatively impacted by hardware and software vendor SLA.</w:t>
      </w:r>
    </w:p>
    <w:p w14:paraId="19A33DDF" w14:textId="77777777" w:rsidR="006F185F" w:rsidRPr="00B0302C" w:rsidRDefault="006F185F" w:rsidP="006F185F">
      <w:pPr>
        <w:pStyle w:val="ListBullet"/>
        <w:numPr>
          <w:ilvl w:val="0"/>
          <w:numId w:val="0"/>
        </w:numPr>
        <w:rPr>
          <w:rFonts w:ascii="Calibri" w:hAnsi="Calibri" w:cs="Calibri"/>
          <w:b/>
          <w:bCs/>
        </w:rPr>
      </w:pPr>
      <w:r w:rsidRPr="00B0302C">
        <w:rPr>
          <w:rFonts w:ascii="Calibri" w:hAnsi="Calibri" w:cs="Calibri"/>
          <w:b/>
          <w:bCs/>
        </w:rPr>
        <w:t>Email Security &amp; Spam Filtering</w:t>
      </w:r>
    </w:p>
    <w:p w14:paraId="12615490" w14:textId="5382F282" w:rsidR="00BB3D5F" w:rsidRPr="00B0302C" w:rsidRDefault="006F185F" w:rsidP="006B4119">
      <w:pPr>
        <w:pStyle w:val="ListBullet"/>
        <w:numPr>
          <w:ilvl w:val="0"/>
          <w:numId w:val="0"/>
        </w:numPr>
        <w:contextualSpacing w:val="0"/>
        <w:rPr>
          <w:rFonts w:ascii="Calibri" w:hAnsi="Calibri" w:cs="Calibri"/>
        </w:rPr>
      </w:pPr>
      <w:r w:rsidRPr="00B0302C">
        <w:rPr>
          <w:rFonts w:ascii="Calibri" w:hAnsi="Calibri" w:cs="Calibri"/>
        </w:rPr>
        <w:t>When an email is quarantined by the current spam filter solution, users are notified and can request its release. The spam filter administrator reviews the email details and decides on its release. If safe, the email is delivered to the user’s inbox. Administrators should exercise caution to prevent threats and maintain security. InfoSystems is not liable for any claims or damages from releasing quarantined emails; both parties agree to indemnify each other for such liabilities.</w:t>
      </w:r>
    </w:p>
    <w:p w14:paraId="0ECEA135" w14:textId="77777777" w:rsidR="00617350" w:rsidRPr="00B0302C" w:rsidRDefault="00617350" w:rsidP="00617350">
      <w:pPr>
        <w:pStyle w:val="ListBullet"/>
        <w:numPr>
          <w:ilvl w:val="0"/>
          <w:numId w:val="0"/>
        </w:numPr>
        <w:rPr>
          <w:rFonts w:ascii="Calibri" w:hAnsi="Calibri" w:cs="Calibri"/>
          <w:b/>
          <w:bCs/>
        </w:rPr>
      </w:pPr>
      <w:r w:rsidRPr="00B0302C">
        <w:rPr>
          <w:rFonts w:ascii="Calibri" w:hAnsi="Calibri" w:cs="Calibri"/>
          <w:b/>
          <w:bCs/>
        </w:rPr>
        <w:t>Customer Success Manager</w:t>
      </w:r>
    </w:p>
    <w:p w14:paraId="280B17D7" w14:textId="77777777" w:rsidR="00617350" w:rsidRPr="00B0302C" w:rsidRDefault="00617350" w:rsidP="00617350">
      <w:pPr>
        <w:pStyle w:val="ListBullet"/>
        <w:numPr>
          <w:ilvl w:val="0"/>
          <w:numId w:val="0"/>
        </w:numPr>
        <w:spacing w:after="120"/>
        <w:ind w:left="270"/>
        <w:contextualSpacing w:val="0"/>
        <w:rPr>
          <w:rFonts w:ascii="Calibri" w:hAnsi="Calibri" w:cs="Calibri"/>
        </w:rPr>
      </w:pPr>
      <w:r w:rsidRPr="00B0302C">
        <w:rPr>
          <w:rFonts w:ascii="Calibri" w:hAnsi="Calibri" w:cs="Calibri"/>
        </w:rPr>
        <w:t>An InfoSystems Customer Success Manager (CSM) may be assigned to your account. The CSM will:</w:t>
      </w:r>
    </w:p>
    <w:p w14:paraId="4C9E65AD" w14:textId="77777777" w:rsidR="00617350" w:rsidRPr="00B0302C" w:rsidRDefault="00617350" w:rsidP="00617350">
      <w:pPr>
        <w:pStyle w:val="ListBullet"/>
        <w:numPr>
          <w:ilvl w:val="0"/>
          <w:numId w:val="5"/>
        </w:numPr>
        <w:ind w:left="990"/>
        <w:rPr>
          <w:rFonts w:ascii="Calibri" w:hAnsi="Calibri" w:cs="Calibri"/>
        </w:rPr>
      </w:pPr>
      <w:r w:rsidRPr="00B0302C">
        <w:rPr>
          <w:rFonts w:ascii="Calibri" w:hAnsi="Calibri" w:cs="Calibri"/>
        </w:rPr>
        <w:t>Interact and have quarterly calls with Managed Services Customers.</w:t>
      </w:r>
    </w:p>
    <w:p w14:paraId="73AF7E21" w14:textId="77777777" w:rsidR="00617350" w:rsidRPr="00B0302C" w:rsidRDefault="00617350" w:rsidP="00617350">
      <w:pPr>
        <w:pStyle w:val="ListBullet"/>
        <w:numPr>
          <w:ilvl w:val="0"/>
          <w:numId w:val="5"/>
        </w:numPr>
        <w:ind w:left="990"/>
        <w:rPr>
          <w:rFonts w:ascii="Calibri" w:hAnsi="Calibri" w:cs="Calibri"/>
        </w:rPr>
      </w:pPr>
      <w:r w:rsidRPr="00B0302C">
        <w:rPr>
          <w:rFonts w:ascii="Calibri" w:hAnsi="Calibri" w:cs="Calibri"/>
        </w:rPr>
        <w:t>Ensure that Customers are obtaining value through a great customer experience.</w:t>
      </w:r>
    </w:p>
    <w:p w14:paraId="2E86A17D" w14:textId="77777777" w:rsidR="00617350" w:rsidRPr="00B0302C" w:rsidRDefault="00617350" w:rsidP="00617350">
      <w:pPr>
        <w:pStyle w:val="ListBullet"/>
        <w:numPr>
          <w:ilvl w:val="0"/>
          <w:numId w:val="5"/>
        </w:numPr>
        <w:ind w:left="990"/>
        <w:rPr>
          <w:rFonts w:ascii="Calibri" w:hAnsi="Calibri" w:cs="Calibri"/>
        </w:rPr>
      </w:pPr>
      <w:r w:rsidRPr="00B0302C">
        <w:rPr>
          <w:rFonts w:ascii="Calibri" w:hAnsi="Calibri" w:cs="Calibri"/>
        </w:rPr>
        <w:t>Build long-term customer relationships and increase customer loyalty.</w:t>
      </w:r>
    </w:p>
    <w:p w14:paraId="7DEE08A8" w14:textId="77777777" w:rsidR="00617350" w:rsidRPr="00B0302C" w:rsidRDefault="00617350" w:rsidP="00617350">
      <w:pPr>
        <w:pStyle w:val="ListBullet"/>
        <w:numPr>
          <w:ilvl w:val="0"/>
          <w:numId w:val="5"/>
        </w:numPr>
        <w:ind w:left="990"/>
        <w:rPr>
          <w:rFonts w:ascii="Calibri" w:hAnsi="Calibri" w:cs="Calibri"/>
        </w:rPr>
      </w:pPr>
      <w:r w:rsidRPr="00B0302C">
        <w:rPr>
          <w:rFonts w:ascii="Calibri" w:hAnsi="Calibri" w:cs="Calibri"/>
        </w:rPr>
        <w:t>Ensure InfoSystems meets the expectations of the managed services contract.</w:t>
      </w:r>
    </w:p>
    <w:p w14:paraId="2FCF037A" w14:textId="77777777" w:rsidR="00617350" w:rsidRPr="00B0302C" w:rsidRDefault="00617350" w:rsidP="00617350">
      <w:pPr>
        <w:pStyle w:val="ListBullet"/>
        <w:numPr>
          <w:ilvl w:val="0"/>
          <w:numId w:val="5"/>
        </w:numPr>
        <w:ind w:left="990"/>
        <w:contextualSpacing w:val="0"/>
        <w:rPr>
          <w:rFonts w:ascii="Calibri" w:hAnsi="Calibri" w:cs="Calibri"/>
        </w:rPr>
      </w:pPr>
      <w:r w:rsidRPr="00B0302C">
        <w:rPr>
          <w:rFonts w:ascii="Calibri" w:hAnsi="Calibri" w:cs="Calibri"/>
        </w:rPr>
        <w:t>Act as liaison between the TAM or vCIO and the account representative.</w:t>
      </w:r>
    </w:p>
    <w:p w14:paraId="33C52F45" w14:textId="77777777" w:rsidR="00617350" w:rsidRPr="00B0302C" w:rsidRDefault="00617350" w:rsidP="00617350">
      <w:pPr>
        <w:pStyle w:val="ListBullet"/>
        <w:numPr>
          <w:ilvl w:val="0"/>
          <w:numId w:val="0"/>
        </w:numPr>
        <w:rPr>
          <w:rFonts w:ascii="Calibri" w:hAnsi="Calibri" w:cs="Calibri"/>
          <w:b/>
          <w:bCs/>
        </w:rPr>
      </w:pPr>
      <w:r w:rsidRPr="00B0302C">
        <w:rPr>
          <w:rFonts w:ascii="Calibri" w:hAnsi="Calibri" w:cs="Calibri"/>
          <w:b/>
          <w:bCs/>
        </w:rPr>
        <w:t>Technical Account Manager (TAM)</w:t>
      </w:r>
    </w:p>
    <w:p w14:paraId="2EB33CA4" w14:textId="77777777" w:rsidR="00617350" w:rsidRPr="00B0302C" w:rsidRDefault="00617350" w:rsidP="00971FB4">
      <w:pPr>
        <w:pStyle w:val="ListBullet"/>
        <w:numPr>
          <w:ilvl w:val="0"/>
          <w:numId w:val="0"/>
        </w:numPr>
        <w:contextualSpacing w:val="0"/>
        <w:rPr>
          <w:rFonts w:ascii="Calibri" w:hAnsi="Calibri" w:cs="Calibri"/>
        </w:rPr>
      </w:pPr>
      <w:r w:rsidRPr="00B0302C">
        <w:rPr>
          <w:rFonts w:ascii="Calibri" w:hAnsi="Calibri" w:cs="Calibri"/>
        </w:rPr>
        <w:t>An InfoSystems Technical Account Manager will be assigned to your account. The TAM will provide the following services:</w:t>
      </w:r>
    </w:p>
    <w:p w14:paraId="2D2A1980" w14:textId="77777777" w:rsidR="00617350" w:rsidRPr="00B0302C" w:rsidRDefault="00617350" w:rsidP="00971FB4">
      <w:pPr>
        <w:pStyle w:val="ListBullet"/>
        <w:numPr>
          <w:ilvl w:val="0"/>
          <w:numId w:val="4"/>
        </w:numPr>
        <w:ind w:left="720"/>
        <w:rPr>
          <w:rFonts w:ascii="Calibri" w:hAnsi="Calibri" w:cs="Calibri"/>
        </w:rPr>
      </w:pPr>
      <w:r w:rsidRPr="00B0302C">
        <w:rPr>
          <w:rFonts w:ascii="Calibri" w:hAnsi="Calibri" w:cs="Calibri"/>
        </w:rPr>
        <w:t>Ensure quality of monthly activities reports, delivery to the Customer, and offer to review with the Customer.</w:t>
      </w:r>
    </w:p>
    <w:p w14:paraId="432106A3" w14:textId="77777777" w:rsidR="00617350" w:rsidRPr="00B0302C" w:rsidRDefault="00617350" w:rsidP="00971FB4">
      <w:pPr>
        <w:pStyle w:val="ListBullet"/>
        <w:numPr>
          <w:ilvl w:val="0"/>
          <w:numId w:val="4"/>
        </w:numPr>
        <w:ind w:left="720"/>
        <w:rPr>
          <w:rFonts w:ascii="Calibri" w:hAnsi="Calibri" w:cs="Calibri"/>
        </w:rPr>
      </w:pPr>
      <w:r w:rsidRPr="00B0302C">
        <w:rPr>
          <w:rFonts w:ascii="Calibri" w:hAnsi="Calibri" w:cs="Calibri"/>
        </w:rPr>
        <w:t>Act as the single point of technical contact and keeping Customer informed of incident progress on extended service request issues while managing Customer satisfaction and represent InfoSystems as a Customer advocate.</w:t>
      </w:r>
    </w:p>
    <w:p w14:paraId="65086B76" w14:textId="77777777" w:rsidR="00617350" w:rsidRPr="00B0302C" w:rsidRDefault="00617350" w:rsidP="00971FB4">
      <w:pPr>
        <w:pStyle w:val="ListBullet"/>
        <w:numPr>
          <w:ilvl w:val="0"/>
          <w:numId w:val="4"/>
        </w:numPr>
        <w:ind w:left="720"/>
        <w:rPr>
          <w:rFonts w:ascii="Calibri" w:hAnsi="Calibri" w:cs="Calibri"/>
        </w:rPr>
      </w:pPr>
      <w:r w:rsidRPr="00B0302C">
        <w:rPr>
          <w:rFonts w:ascii="Calibri" w:hAnsi="Calibri" w:cs="Calibri"/>
        </w:rPr>
        <w:t>Ensure that documentation and knowledge of the Customer’s environment exists in the InfoSystems document repository.</w:t>
      </w:r>
    </w:p>
    <w:p w14:paraId="0F0F7C51" w14:textId="77777777" w:rsidR="00617350" w:rsidRPr="00B0302C" w:rsidRDefault="00617350" w:rsidP="00971FB4">
      <w:pPr>
        <w:pStyle w:val="ListBullet"/>
        <w:numPr>
          <w:ilvl w:val="0"/>
          <w:numId w:val="4"/>
        </w:numPr>
        <w:ind w:left="720"/>
        <w:rPr>
          <w:rFonts w:ascii="Calibri" w:hAnsi="Calibri" w:cs="Calibri"/>
        </w:rPr>
      </w:pPr>
      <w:r w:rsidRPr="00B0302C">
        <w:rPr>
          <w:rFonts w:ascii="Calibri" w:hAnsi="Calibri" w:cs="Calibri"/>
        </w:rPr>
        <w:t>Share technical news, current trends and emerging technologies. Share patching requirements, notifying Customer of impending changes or agreed outages, and general information that is pertinent to the Customer’s environment.</w:t>
      </w:r>
    </w:p>
    <w:p w14:paraId="6020D8DC" w14:textId="77777777" w:rsidR="00617350" w:rsidRPr="00B0302C" w:rsidRDefault="00617350" w:rsidP="00971FB4">
      <w:pPr>
        <w:pStyle w:val="ListBullet"/>
        <w:numPr>
          <w:ilvl w:val="0"/>
          <w:numId w:val="4"/>
        </w:numPr>
        <w:ind w:left="720"/>
        <w:rPr>
          <w:rFonts w:ascii="Calibri" w:hAnsi="Calibri" w:cs="Calibri"/>
        </w:rPr>
      </w:pPr>
      <w:r w:rsidRPr="00B0302C">
        <w:rPr>
          <w:rFonts w:ascii="Calibri" w:hAnsi="Calibri" w:cs="Calibri"/>
        </w:rPr>
        <w:t>Evaluate the organization’s systems and their corresponding equipment and software.</w:t>
      </w:r>
    </w:p>
    <w:p w14:paraId="55DF9194" w14:textId="1C99872D" w:rsidR="00B0302C" w:rsidRPr="00B0302C" w:rsidRDefault="00617350" w:rsidP="00D23D82">
      <w:pPr>
        <w:pStyle w:val="ListBullet"/>
        <w:numPr>
          <w:ilvl w:val="0"/>
          <w:numId w:val="4"/>
        </w:numPr>
        <w:ind w:left="720"/>
        <w:rPr>
          <w:rFonts w:ascii="Calibri" w:hAnsi="Calibri" w:cs="Calibri"/>
        </w:rPr>
      </w:pPr>
      <w:r w:rsidRPr="00B0302C">
        <w:rPr>
          <w:rFonts w:ascii="Calibri" w:hAnsi="Calibri" w:cs="Calibri"/>
        </w:rPr>
        <w:t>Ensure that any and all software, licenses, maintenance and support renewals are processed in a timely manner.</w:t>
      </w:r>
    </w:p>
    <w:sectPr w:rsidR="00B0302C" w:rsidRPr="00B0302C" w:rsidSect="000742D4">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6C87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59143F"/>
    <w:multiLevelType w:val="hybridMultilevel"/>
    <w:tmpl w:val="C9CE8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FEB507D"/>
    <w:multiLevelType w:val="hybridMultilevel"/>
    <w:tmpl w:val="43BCE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0E5009"/>
    <w:multiLevelType w:val="hybridMultilevel"/>
    <w:tmpl w:val="4DAAEC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2B86B06"/>
    <w:multiLevelType w:val="multilevel"/>
    <w:tmpl w:val="FFC026B6"/>
    <w:lvl w:ilvl="0">
      <w:start w:val="1"/>
      <w:numFmt w:val="lowerLetter"/>
      <w:lvlText w:val="%1."/>
      <w:lvlJc w:val="left"/>
      <w:pPr>
        <w:ind w:left="-978" w:hanging="360"/>
      </w:pPr>
      <w:rPr>
        <w:rFonts w:hint="default"/>
      </w:rPr>
    </w:lvl>
    <w:lvl w:ilvl="1">
      <w:start w:val="1"/>
      <w:numFmt w:val="lowerLetter"/>
      <w:lvlText w:val="%2)"/>
      <w:lvlJc w:val="left"/>
      <w:pPr>
        <w:ind w:left="-618" w:hanging="360"/>
      </w:pPr>
    </w:lvl>
    <w:lvl w:ilvl="2">
      <w:start w:val="1"/>
      <w:numFmt w:val="lowerRoman"/>
      <w:lvlText w:val="%3)"/>
      <w:lvlJc w:val="left"/>
      <w:pPr>
        <w:ind w:left="-258" w:hanging="360"/>
      </w:pPr>
    </w:lvl>
    <w:lvl w:ilvl="3">
      <w:start w:val="1"/>
      <w:numFmt w:val="decimal"/>
      <w:lvlText w:val="(%4)"/>
      <w:lvlJc w:val="left"/>
      <w:pPr>
        <w:ind w:left="102" w:hanging="360"/>
      </w:pPr>
    </w:lvl>
    <w:lvl w:ilvl="4">
      <w:start w:val="1"/>
      <w:numFmt w:val="lowerLetter"/>
      <w:lvlText w:val="(%5)"/>
      <w:lvlJc w:val="left"/>
      <w:pPr>
        <w:ind w:left="462" w:hanging="360"/>
      </w:pPr>
    </w:lvl>
    <w:lvl w:ilvl="5">
      <w:start w:val="1"/>
      <w:numFmt w:val="lowerRoman"/>
      <w:lvlText w:val="(%6)"/>
      <w:lvlJc w:val="left"/>
      <w:pPr>
        <w:ind w:left="822" w:hanging="360"/>
      </w:pPr>
    </w:lvl>
    <w:lvl w:ilvl="6">
      <w:start w:val="1"/>
      <w:numFmt w:val="decimal"/>
      <w:lvlText w:val="%7."/>
      <w:lvlJc w:val="left"/>
      <w:pPr>
        <w:ind w:left="1182" w:hanging="360"/>
      </w:pPr>
    </w:lvl>
    <w:lvl w:ilvl="7">
      <w:start w:val="1"/>
      <w:numFmt w:val="lowerLetter"/>
      <w:lvlText w:val="%8."/>
      <w:lvlJc w:val="left"/>
      <w:pPr>
        <w:ind w:left="1542" w:hanging="360"/>
      </w:pPr>
    </w:lvl>
    <w:lvl w:ilvl="8">
      <w:start w:val="1"/>
      <w:numFmt w:val="lowerRoman"/>
      <w:lvlText w:val="%9."/>
      <w:lvlJc w:val="left"/>
      <w:pPr>
        <w:ind w:left="1902" w:hanging="360"/>
      </w:pPr>
    </w:lvl>
  </w:abstractNum>
  <w:num w:numId="1" w16cid:durableId="1268737085">
    <w:abstractNumId w:val="0"/>
  </w:num>
  <w:num w:numId="2" w16cid:durableId="1405831138">
    <w:abstractNumId w:val="4"/>
  </w:num>
  <w:num w:numId="3" w16cid:durableId="1812281305">
    <w:abstractNumId w:val="3"/>
  </w:num>
  <w:num w:numId="4" w16cid:durableId="1886989579">
    <w:abstractNumId w:val="1"/>
  </w:num>
  <w:num w:numId="5" w16cid:durableId="110129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31"/>
    <w:rsid w:val="000742D4"/>
    <w:rsid w:val="001217A2"/>
    <w:rsid w:val="001D75BB"/>
    <w:rsid w:val="002B61A2"/>
    <w:rsid w:val="004F4177"/>
    <w:rsid w:val="005D1B63"/>
    <w:rsid w:val="00617350"/>
    <w:rsid w:val="006B4119"/>
    <w:rsid w:val="006F185F"/>
    <w:rsid w:val="00775469"/>
    <w:rsid w:val="00796875"/>
    <w:rsid w:val="007D6FFD"/>
    <w:rsid w:val="00804153"/>
    <w:rsid w:val="00966DF3"/>
    <w:rsid w:val="00971FB4"/>
    <w:rsid w:val="009762F6"/>
    <w:rsid w:val="00A233E8"/>
    <w:rsid w:val="00B0302C"/>
    <w:rsid w:val="00B7113B"/>
    <w:rsid w:val="00BB3D5F"/>
    <w:rsid w:val="00C95AD8"/>
    <w:rsid w:val="00D23D82"/>
    <w:rsid w:val="00D41C5F"/>
    <w:rsid w:val="00DE0133"/>
    <w:rsid w:val="00DE3531"/>
    <w:rsid w:val="00E61395"/>
    <w:rsid w:val="00F31CB4"/>
    <w:rsid w:val="00F74512"/>
    <w:rsid w:val="00FC44C1"/>
    <w:rsid w:val="00FC7AFB"/>
    <w:rsid w:val="00FF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661E"/>
  <w15:chartTrackingRefBased/>
  <w15:docId w15:val="{85C4E5A9-9CBD-4896-B541-DC2311E8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531"/>
    <w:rPr>
      <w:rFonts w:eastAsiaTheme="majorEastAsia" w:cstheme="majorBidi"/>
      <w:color w:val="272727" w:themeColor="text1" w:themeTint="D8"/>
    </w:rPr>
  </w:style>
  <w:style w:type="paragraph" w:styleId="Title">
    <w:name w:val="Title"/>
    <w:basedOn w:val="Normal"/>
    <w:next w:val="Normal"/>
    <w:link w:val="TitleChar"/>
    <w:uiPriority w:val="10"/>
    <w:qFormat/>
    <w:rsid w:val="00DE3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531"/>
    <w:pPr>
      <w:spacing w:before="160"/>
      <w:jc w:val="center"/>
    </w:pPr>
    <w:rPr>
      <w:i/>
      <w:iCs/>
      <w:color w:val="404040" w:themeColor="text1" w:themeTint="BF"/>
    </w:rPr>
  </w:style>
  <w:style w:type="character" w:customStyle="1" w:styleId="QuoteChar">
    <w:name w:val="Quote Char"/>
    <w:basedOn w:val="DefaultParagraphFont"/>
    <w:link w:val="Quote"/>
    <w:uiPriority w:val="29"/>
    <w:rsid w:val="00DE3531"/>
    <w:rPr>
      <w:i/>
      <w:iCs/>
      <w:color w:val="404040" w:themeColor="text1" w:themeTint="BF"/>
    </w:rPr>
  </w:style>
  <w:style w:type="paragraph" w:styleId="ListParagraph">
    <w:name w:val="List Paragraph"/>
    <w:basedOn w:val="Normal"/>
    <w:uiPriority w:val="34"/>
    <w:qFormat/>
    <w:rsid w:val="00DE3531"/>
    <w:pPr>
      <w:ind w:left="720"/>
      <w:contextualSpacing/>
    </w:pPr>
  </w:style>
  <w:style w:type="character" w:styleId="IntenseEmphasis">
    <w:name w:val="Intense Emphasis"/>
    <w:basedOn w:val="DefaultParagraphFont"/>
    <w:uiPriority w:val="21"/>
    <w:qFormat/>
    <w:rsid w:val="00DE3531"/>
    <w:rPr>
      <w:i/>
      <w:iCs/>
      <w:color w:val="0F4761" w:themeColor="accent1" w:themeShade="BF"/>
    </w:rPr>
  </w:style>
  <w:style w:type="paragraph" w:styleId="IntenseQuote">
    <w:name w:val="Intense Quote"/>
    <w:basedOn w:val="Normal"/>
    <w:next w:val="Normal"/>
    <w:link w:val="IntenseQuoteChar"/>
    <w:uiPriority w:val="30"/>
    <w:qFormat/>
    <w:rsid w:val="00DE3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531"/>
    <w:rPr>
      <w:i/>
      <w:iCs/>
      <w:color w:val="0F4761" w:themeColor="accent1" w:themeShade="BF"/>
    </w:rPr>
  </w:style>
  <w:style w:type="character" w:styleId="IntenseReference">
    <w:name w:val="Intense Reference"/>
    <w:basedOn w:val="DefaultParagraphFont"/>
    <w:uiPriority w:val="32"/>
    <w:qFormat/>
    <w:rsid w:val="00DE3531"/>
    <w:rPr>
      <w:b/>
      <w:bCs/>
      <w:smallCaps/>
      <w:color w:val="0F4761" w:themeColor="accent1" w:themeShade="BF"/>
      <w:spacing w:val="5"/>
    </w:rPr>
  </w:style>
  <w:style w:type="paragraph" w:styleId="ListBullet">
    <w:name w:val="List Bullet"/>
    <w:basedOn w:val="Normal"/>
    <w:uiPriority w:val="99"/>
    <w:unhideWhenUsed/>
    <w:rsid w:val="00DE3531"/>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paragraph" w:customStyle="1" w:styleId="TableParagraph">
    <w:name w:val="Table Paragraph"/>
    <w:basedOn w:val="Normal"/>
    <w:uiPriority w:val="1"/>
    <w:qFormat/>
    <w:rsid w:val="00DE3531"/>
    <w:pPr>
      <w:widowControl w:val="0"/>
      <w:autoSpaceDE w:val="0"/>
      <w:autoSpaceDN w:val="0"/>
      <w:spacing w:after="0" w:line="240" w:lineRule="auto"/>
    </w:pPr>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DE3531"/>
    <w:rPr>
      <w:sz w:val="16"/>
      <w:szCs w:val="16"/>
    </w:rPr>
  </w:style>
  <w:style w:type="paragraph" w:styleId="CommentText">
    <w:name w:val="annotation text"/>
    <w:basedOn w:val="Normal"/>
    <w:link w:val="CommentTextChar"/>
    <w:uiPriority w:val="99"/>
    <w:unhideWhenUsed/>
    <w:rsid w:val="00DE3531"/>
    <w:pPr>
      <w:spacing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DE3531"/>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B02A-11A2-4CE7-ABC0-60EC90167A61}">
  <ds:schemaRefs>
    <ds:schemaRef ds:uri="http://schemas.microsoft.com/sharepoint/v3/contenttype/forms"/>
  </ds:schemaRefs>
</ds:datastoreItem>
</file>

<file path=customXml/itemProps2.xml><?xml version="1.0" encoding="utf-8"?>
<ds:datastoreItem xmlns:ds="http://schemas.openxmlformats.org/officeDocument/2006/customXml" ds:itemID="{D58EDBD2-9A66-4DE2-BE71-5E4C3DF2CCDD}">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customXml/itemProps3.xml><?xml version="1.0" encoding="utf-8"?>
<ds:datastoreItem xmlns:ds="http://schemas.openxmlformats.org/officeDocument/2006/customXml" ds:itemID="{51351546-8C7D-4641-8C06-ECF17F9A3DFB}"/>
</file>

<file path=customXml/itemProps4.xml><?xml version="1.0" encoding="utf-8"?>
<ds:datastoreItem xmlns:ds="http://schemas.openxmlformats.org/officeDocument/2006/customXml" ds:itemID="{36339C73-DBB9-4CFC-9053-063E971F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944</Words>
  <Characters>5762</Characters>
  <Application>Microsoft Office Word</Application>
  <DocSecurity>0</DocSecurity>
  <Lines>120</Lines>
  <Paragraphs>81</Paragraphs>
  <ScaleCrop>false</ScaleCrop>
  <Company>InfoSystems Inc</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24</cp:revision>
  <dcterms:created xsi:type="dcterms:W3CDTF">2025-12-12T18:42:00Z</dcterms:created>
  <dcterms:modified xsi:type="dcterms:W3CDTF">2026-01-20T20:49:00Z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2025-12-12T18:45:19Z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c966c906-5fba-4bbf-97f4-d64a5bae447b</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y fmtid="{D5CDD505-2E9C-101B-9397-08002B2CF9AE}" pid="12" name="docLang">
    <vt:lpwstr>en</vt:lpwstr>
  </property>
</Properties>
</file>